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1244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24"/>
          <w:szCs w:val="24"/>
          <w14:ligatures w14:val="none"/>
        </w:rPr>
      </w:pPr>
      <w:r w:rsidRPr="003140BF">
        <w:rPr>
          <w:rFonts w:ascii="Times New Roman" w:eastAsia="Times New Roman" w:hAnsi="Times New Roman" w:cs="Times New Roman"/>
          <w:b/>
          <w:bCs/>
          <w:color w:val="222222"/>
          <w:kern w:val="0"/>
          <w:sz w:val="24"/>
          <w:szCs w:val="24"/>
          <w14:ligatures w14:val="none"/>
        </w:rPr>
        <w:t xml:space="preserve">Superando la brecha literaria por Roy </w:t>
      </w:r>
      <w:proofErr w:type="spellStart"/>
      <w:r w:rsidRPr="003140BF">
        <w:rPr>
          <w:rFonts w:ascii="Times New Roman" w:eastAsia="Times New Roman" w:hAnsi="Times New Roman" w:cs="Times New Roman"/>
          <w:b/>
          <w:bCs/>
          <w:color w:val="222222"/>
          <w:kern w:val="0"/>
          <w:sz w:val="24"/>
          <w:szCs w:val="24"/>
          <w14:ligatures w14:val="none"/>
        </w:rPr>
        <w:t>Zuck</w:t>
      </w:r>
      <w:proofErr w:type="spellEnd"/>
    </w:p>
    <w:p w14:paraId="3A8A2BC3" w14:textId="77777777" w:rsidR="003140BF" w:rsidRPr="003140BF" w:rsidRDefault="003140BF" w:rsidP="003140BF">
      <w:pPr>
        <w:shd w:val="clear" w:color="auto" w:fill="FFFFFF"/>
        <w:spacing w:after="0" w:line="240" w:lineRule="auto"/>
        <w:rPr>
          <w:rFonts w:ascii="Times New Roman" w:eastAsia="Times New Roman" w:hAnsi="Times New Roman" w:cs="Times New Roman"/>
          <w:color w:val="888888"/>
          <w:kern w:val="0"/>
          <w:sz w:val="24"/>
          <w:szCs w:val="24"/>
          <w14:ligatures w14:val="none"/>
        </w:rPr>
      </w:pPr>
      <w:r w:rsidRPr="003140BF">
        <w:rPr>
          <w:rFonts w:ascii="Times New Roman" w:eastAsia="Times New Roman" w:hAnsi="Times New Roman" w:cs="Times New Roman"/>
          <w:color w:val="888888"/>
          <w:kern w:val="0"/>
          <w:sz w:val="24"/>
          <w:szCs w:val="24"/>
          <w:bdr w:val="single" w:sz="2" w:space="0" w:color="E2E8F0" w:frame="1"/>
          <w14:ligatures w14:val="none"/>
        </w:rPr>
        <w:t>1h100 Puntos</w:t>
      </w:r>
    </w:p>
    <w:p w14:paraId="61BD9B8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color w:val="292E35"/>
          <w:kern w:val="0"/>
          <w:sz w:val="24"/>
          <w:szCs w:val="24"/>
          <w:bdr w:val="single" w:sz="2" w:space="0" w:color="E2E8F0" w:frame="1"/>
          <w14:ligatures w14:val="none"/>
        </w:rPr>
        <w:t>Capítulo 6</w:t>
      </w:r>
    </w:p>
    <w:p w14:paraId="4203582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color w:val="000000"/>
          <w:kern w:val="0"/>
          <w:sz w:val="24"/>
          <w:szCs w:val="24"/>
          <w:bdr w:val="single" w:sz="2" w:space="0" w:color="E2E8F0" w:frame="1"/>
          <w14:ligatures w14:val="none"/>
        </w:rPr>
        <w:t>Superando la brecha literaria</w:t>
      </w:r>
    </w:p>
    <w:p w14:paraId="155A14D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Roy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Zuck</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w:t>
      </w:r>
    </w:p>
    <w:p w14:paraId="3BDEE7F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p>
    <w:p w14:paraId="71765A8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 el año 1973 nuestra familia se mudó a Dallas. Tres meses antes de mudarnos, mi esposa y yo volamos a Dallas para buscar una casa. Mientras buscábamos, enfrentamos el problema que muchos compradores de casa enfrentan: o nos gustaba la casa, pero no podíamos financiarla, o si la podíamos financiar no nos gustaba. Sin embargo, en el cuarto día de nuestra búsqueda vimos una casa que nos gustó y que creímos que sí podríamos pagar. Estaba en construcción en ese momento. Las paredes exteriores y la estructura interior ya habían sido construidas y el techo estaba en su lugar. Pero era difícil imaginar exactamente cómo se vería cuando estuviera terminada, por lo cual, el constructor nos mostró una casa similar en la misma calle, que ya había sido terminada y vendida; pero que todavía no estaba habitada.</w:t>
      </w:r>
    </w:p>
    <w:p w14:paraId="647BDEC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F1E94A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 las siguientes 24 horas, firmamos un contrato, escogimos los colores para pintar la casa, los accesorios de iluminación, el papel tapiz y las alfombras.</w:t>
      </w:r>
    </w:p>
    <w:p w14:paraId="533A412E"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CE372A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Mientras buscábamos casa y escogíamos los colores, los accesorios y las telas, tuvimos que tomar en cuenta los muebles que ya teníamos. Queríamos que esos artículos combinaran con los muebles. Eso, por supuesto, es un principio básico del diseño de interiores: hacer que las cosas estén en armonía (con los mismos elementos) o coordinar cosas que son diferentes. El diseño de interiores se ocupa de los detalles de la estructura para que el efecto total sea agradable y funcional.</w:t>
      </w:r>
    </w:p>
    <w:p w14:paraId="3CB15A1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AD8EE0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 unidad (coordinación), la variedad y la utilidad (funcionalidad) son importantes. Al escoger y colocar los muebles, los dueños de la casa y los diseñadores de interiores consideran el color, el acomodo, los patrones, las telas y las formas. Los diseñadores de interiores y las amas de casa sabias consideran los mismos elementos cuando seleccionan cosas como cortinas, papel tapiz y pintura para las paredes, mosaicos para el piso y alfombras, y accesorios como cuadros, lámparas y adornos. Cuando entras a un cuarto bien diseñado, estos elementos te dicen algo del propósito y el carácter del cuarto.</w:t>
      </w:r>
    </w:p>
    <w:p w14:paraId="6F316B8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5F7B96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Así es también con la Biblia. Su “diseño interior” es fabuloso. Entre más conozcas los patrones, los estilos y las formas de las diferentes unidades de un libro de la Biblia, más sabrás del propósito y carácter único del libro y mejor lo entenderás. Este aspecto es muchas veces descuidado en el estudio e interpretación de la Biblia. En un sentido esto es entendible porque un buen diseño no llama la atención a sí mismo. Pero cuando se examina cuidadosamente se puede ver la sabiduría detrás del diseño. Este capítulo, junto con el siguiente, habla de la interpretación retórica, el estilo y la forma de las escrituras.</w:t>
      </w:r>
    </w:p>
    <w:p w14:paraId="1B9021F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03731AF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i/>
          <w:iCs/>
          <w:color w:val="000000"/>
          <w:kern w:val="0"/>
          <w:sz w:val="24"/>
          <w:szCs w:val="24"/>
          <w:bdr w:val="single" w:sz="2" w:space="0" w:color="E2E8F0" w:frame="1"/>
          <w14:ligatures w14:val="none"/>
        </w:rPr>
        <w:lastRenderedPageBreak/>
        <w:t>¿Qué es la interpretación retórica?</w:t>
      </w:r>
    </w:p>
    <w:p w14:paraId="71DECF6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Algunas de las definiciones que da el Diccionario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Webster’s</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sobre la palabra “retórica” son estas: “el estilo del lenguaje” y “el arte de la escritura o del habla como medio de comunicación con enfoque en el efecto literario”.</w:t>
      </w:r>
    </w:p>
    <w:p w14:paraId="0BC74916"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74B79F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La “interpretación retórica” se refiere al proceso de determinar cómo el </w:t>
      </w:r>
      <w:r w:rsidRPr="003140BF">
        <w:rPr>
          <w:rFonts w:ascii="Times New Roman" w:eastAsia="Times New Roman" w:hAnsi="Times New Roman" w:cs="Times New Roman"/>
          <w:i/>
          <w:iCs/>
          <w:color w:val="000000"/>
          <w:kern w:val="0"/>
          <w:sz w:val="24"/>
          <w:szCs w:val="24"/>
          <w:bdr w:val="single" w:sz="2" w:space="0" w:color="E2E8F0" w:frame="1"/>
          <w14:ligatures w14:val="none"/>
        </w:rPr>
        <w:t>estilo</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(los elementos verbales o formas de </w:t>
      </w:r>
      <w:r w:rsidRPr="003140BF">
        <w:rPr>
          <w:rFonts w:ascii="Times New Roman" w:eastAsia="Times New Roman" w:hAnsi="Times New Roman" w:cs="Times New Roman"/>
          <w:color w:val="292E35"/>
          <w:kern w:val="0"/>
          <w:sz w:val="24"/>
          <w:szCs w:val="24"/>
          <w14:ligatures w14:val="none"/>
        </w:rPr>
        <w:t xml:space="preserve">expresión) y la </w:t>
      </w:r>
      <w:r w:rsidRPr="003140BF">
        <w:rPr>
          <w:rFonts w:ascii="Times New Roman" w:eastAsia="Times New Roman" w:hAnsi="Times New Roman" w:cs="Times New Roman"/>
          <w:i/>
          <w:iCs/>
          <w:color w:val="000000"/>
          <w:kern w:val="0"/>
          <w:sz w:val="24"/>
          <w:szCs w:val="24"/>
          <w:bdr w:val="single" w:sz="2" w:space="0" w:color="E2E8F0" w:frame="1"/>
          <w14:ligatures w14:val="none"/>
        </w:rPr>
        <w:t>forma</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(la estructura organizativa) influyen en cómo </w:t>
      </w:r>
      <w:r w:rsidRPr="003140BF">
        <w:rPr>
          <w:rFonts w:ascii="Times New Roman" w:eastAsia="Times New Roman" w:hAnsi="Times New Roman" w:cs="Times New Roman"/>
          <w:color w:val="292E35"/>
          <w:kern w:val="0"/>
          <w:sz w:val="24"/>
          <w:szCs w:val="24"/>
          <w14:ligatures w14:val="none"/>
        </w:rPr>
        <w:t>se ha de entender algún escrito. La interpretación retórica es el proceso de determinar la calidad literaria de un escrito mediante el análisis de su género (tipo de composición), estructura (cómo está organizado el material), y figuras retóricas (expresiones coloridas para un efecto literario) y cómo esos factores influyen en el significado del texto.</w:t>
      </w:r>
    </w:p>
    <w:p w14:paraId="2593536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1FF23E8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La consideración de estos elementos debe formar parte del estudio e interpretación de la Biblia, porque, como se mencionó en capítulo 3, la Biblia es un libro y, por lo tanto, es un producto literario. “La literatura es una presentación interpretativa de la experiencia en </w:t>
      </w:r>
      <w:r w:rsidRPr="003140BF">
        <w:rPr>
          <w:rFonts w:ascii="Times New Roman" w:eastAsia="Times New Roman" w:hAnsi="Times New Roman" w:cs="Times New Roman"/>
          <w:b/>
          <w:bCs/>
          <w:i/>
          <w:iCs/>
          <w:color w:val="000000"/>
          <w:kern w:val="0"/>
          <w:sz w:val="24"/>
          <w:szCs w:val="24"/>
          <w:bdr w:val="single" w:sz="2" w:space="0" w:color="E2E8F0" w:frame="1"/>
          <w14:ligatures w14:val="none"/>
        </w:rPr>
        <w:t>forma artística</w:t>
      </w:r>
      <w:r w:rsidRPr="003140BF">
        <w:rPr>
          <w:rFonts w:ascii="Times New Roman" w:eastAsia="Times New Roman" w:hAnsi="Times New Roman" w:cs="Times New Roman"/>
          <w:color w:val="000000"/>
          <w:kern w:val="0"/>
          <w:sz w:val="24"/>
          <w:szCs w:val="24"/>
          <w:bdr w:val="single" w:sz="2" w:space="0" w:color="E2E8F0" w:frame="1"/>
          <w14:ligatures w14:val="none"/>
        </w:rPr>
        <w:t>”.</w:t>
      </w:r>
    </w:p>
    <w:p w14:paraId="2B56754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2EDEC8C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Preguntar</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sobre el género literario o el tipo de </w:t>
      </w:r>
      <w:r w:rsidRPr="003140BF">
        <w:rPr>
          <w:rFonts w:ascii="Times New Roman" w:eastAsia="Times New Roman" w:hAnsi="Times New Roman" w:cs="Times New Roman"/>
          <w:color w:val="292E35"/>
          <w:kern w:val="0"/>
          <w:sz w:val="24"/>
          <w:szCs w:val="24"/>
          <w14:ligatures w14:val="none"/>
        </w:rPr>
        <w:t>composición de cualquier porción de la Biblia es como si un diseñador de interiores preguntara, ¿Qué tipo de cuarto es? ¿Se trata de una sala de estar, comedor, sótano, recámara, cocina, desayunador o cuarto de juegos? Normalmente se conoce el tipo de habitación al ver lo que hay en ella. De manera similar, observar el contenido de un libro de la Biblia puede ayudarle a determinar su género o tipo de composición.</w:t>
      </w:r>
    </w:p>
    <w:p w14:paraId="33C9C19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E15111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Hablar acerca de la estructura es como preguntar, ¿Cómo fue hecho el comedor? ¿Cuáles son sus componentes? ¿En qué difiere de otros comedores? Dos comedores pueden ser diferentes en color, tamaño, estilo de muebles, tipos de piso, acomodo, y, sin embargo, siguen siendo comedores. El género literario de los primeros cuatro libros del Nuevo Testamento es Evangelio, pero obviamente no todos los Evangelios son iguales. Están estructurados de maneras diferentes.</w:t>
      </w:r>
    </w:p>
    <w:p w14:paraId="693D07D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562288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Entonces, en la interpretación retórica estamos examinando varios tipos de cuartos literarios (género) y después viendo cómo son compuestos (estructura y estilo).</w:t>
      </w:r>
    </w:p>
    <w:p w14:paraId="01B8CA9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93FA6C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Los cuadros en la pared, los accesorios sobre los estantes, los arreglos florales sobre las mesas —estos y otros toques añaden color, interés y una chispa al cuarto—. Asimismo, las figuras retóricas, las cuales son maneras coloridas de expresar ideas, añaden interés a las Escrituras. A menos que las figuras retóricas sean reconocidas, algunos pasajes pueden ser malinterpretados.</w:t>
      </w:r>
    </w:p>
    <w:p w14:paraId="09EE813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1DE089D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¿Tiene la Biblia un lustre literario?</w:t>
      </w:r>
    </w:p>
    <w:p w14:paraId="4A154CB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Esta pregunta puede ser contestada </w:t>
      </w:r>
      <w:r w:rsidRPr="003140BF">
        <w:rPr>
          <w:rFonts w:ascii="Times New Roman" w:eastAsia="Times New Roman" w:hAnsi="Times New Roman" w:cs="Times New Roman"/>
          <w:b/>
          <w:bCs/>
          <w:color w:val="000000"/>
          <w:kern w:val="0"/>
          <w:sz w:val="24"/>
          <w:szCs w:val="24"/>
          <w:bdr w:val="single" w:sz="2" w:space="0" w:color="E2E8F0" w:frame="1"/>
          <w14:ligatures w14:val="none"/>
        </w:rPr>
        <w:t xml:space="preserve">afirmativamente </w:t>
      </w:r>
      <w:r w:rsidRPr="003140BF">
        <w:rPr>
          <w:rFonts w:ascii="Times New Roman" w:eastAsia="Times New Roman" w:hAnsi="Times New Roman" w:cs="Times New Roman"/>
          <w:color w:val="000000"/>
          <w:kern w:val="0"/>
          <w:sz w:val="24"/>
          <w:szCs w:val="24"/>
          <w:bdr w:val="single" w:sz="2" w:space="0" w:color="E2E8F0" w:frame="1"/>
          <w14:ligatures w14:val="none"/>
        </w:rPr>
        <w:t>por dos razones:  </w:t>
      </w:r>
    </w:p>
    <w:p w14:paraId="2E2D884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Primero, la Biblia presenta a la gente como personas reales y vivas. La literatura bíblica está repleta de aventura, eventos maravillosos, batallas, personajes sobrenaturales, villanos… héroes valientes, heroínas hermosas y valientes… calabozos, búsquedas, misiones de rescate, amor romántico, </w:t>
      </w: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héroes jóvenes… la literatura bíblica está viva.  Los eruditos de la Biblia muchas veces han dado la impresión de que la literatura bíblica es un documento seco como el polvo y listo para ser cortado y puesto en exhibición como un vestigio de las culturas antiguas.</w:t>
      </w:r>
    </w:p>
    <w:p w14:paraId="23D2370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294FD1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Como la literatura, la Biblia documenta las experiencias humanas. Habla de las emociones de la gente y de los conflictos, las victorias y las derrotas, el gozo y el dolor, las imperfecciones y los pecados, las pérdidas y ganancias espirituales. Intriga, suspenso, agitación, debilidades, desilusión, eventos sorprendentes —estas y muchas otras experiencias del hombre se encuentran en la Biblia—.</w:t>
      </w:r>
    </w:p>
    <w:p w14:paraId="38BDA85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EEF83F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Segundo, la Biblia presenta a los autores como escritores literarios capaces. Casi ningún erudito de la Biblia hoy en día está de acuerdo con el comentario de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Dibelio</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de que “lo que ellos [los escritores de los Evangelios] escribieron o fue totalmente iliterario… o fue sólo un medio literario”.</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Muchos han pensado que Amós era un hombre rústico, sin educación, que sabía muy poco de cómo escribir. Pero entre más estudies el Libro de Amós, más podrás ver su alta calidad literaria.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Ryken</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correctamente afirma que la Biblia contiene un “arte literario de primer nivel”. Él</w:t>
      </w:r>
    </w:p>
    <w:p w14:paraId="25A698B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añade: </w:t>
      </w:r>
    </w:p>
    <w:p w14:paraId="033C586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Los autores bíblicos escribieron en convenciones literarias bien entendidas y con un buen manejo de los principios literarios. Ellos sabían cómo contar historias con tramas bien hechas. Sabían cómo contar historias unificadas por el principio de la tragedia o la sátira… los poetas bíblicos sabían cómo inventar metáforas aptas y cómo poner las oraciones en forma paralela… La mayoría de ellos fueron maestros de estilo.</w:t>
      </w:r>
    </w:p>
    <w:p w14:paraId="3D173CC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3F84943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Las obras teatrales, poemas, periódicos, novelas, historias cortas, autobiografías, ciencia ficción, documentales, son tipos de productos literarios que tienen características que influyen en la forma en que entendemos su contenido. Asimismo, debemos reconocer los diferentes tipos de composición en la Biblia (tanto en libros completos como en las unidades más pequeñas dentro de ellos) como la historia, la ley, la narrativa, la poesía, la profecía, los Evangelios, las Epístolas, la literatura de Sabiduría, etc. Que el material sea una epístola o un relato, o que sea poético o profético, tiene relevancia. “Ya que las partes de la Biblia son literarias en su forma, es necesario un enfoque literario para entender lo que se está diciendo”.</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El arte de la Biblia en su forma y estilo hace de ella una obra maestra literaria. Sus historias y poemas son “productos de habilidad verbal e imaginativa”,</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haciéndola un libro de excelencia literaria excepcional.</w:t>
      </w:r>
    </w:p>
    <w:p w14:paraId="5C35CEC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1749895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i/>
          <w:iCs/>
          <w:color w:val="000000"/>
          <w:kern w:val="0"/>
          <w:sz w:val="24"/>
          <w:szCs w:val="24"/>
          <w:bdr w:val="single" w:sz="2" w:space="0" w:color="E2E8F0" w:frame="1"/>
          <w14:ligatures w14:val="none"/>
        </w:rPr>
        <w:t>El género literario en la Biblia</w:t>
      </w:r>
    </w:p>
    <w:p w14:paraId="7B27D16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¿Qué es el género literario?</w:t>
      </w:r>
    </w:p>
    <w:p w14:paraId="41988E9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i/>
          <w:iCs/>
          <w:color w:val="000000"/>
          <w:kern w:val="0"/>
          <w:sz w:val="24"/>
          <w:szCs w:val="24"/>
          <w:bdr w:val="single" w:sz="2" w:space="0" w:color="E2E8F0" w:frame="1"/>
          <w14:ligatures w14:val="none"/>
        </w:rPr>
        <w:t>Género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del latín </w:t>
      </w:r>
      <w:proofErr w:type="spellStart"/>
      <w:r w:rsidRPr="003140BF">
        <w:rPr>
          <w:rFonts w:ascii="Times New Roman" w:eastAsia="Times New Roman" w:hAnsi="Times New Roman" w:cs="Times New Roman"/>
          <w:b/>
          <w:bCs/>
          <w:i/>
          <w:iCs/>
          <w:color w:val="000000"/>
          <w:kern w:val="0"/>
          <w:sz w:val="24"/>
          <w:szCs w:val="24"/>
          <w:bdr w:val="single" w:sz="2" w:space="0" w:color="E2E8F0" w:frame="1"/>
          <w14:ligatures w14:val="none"/>
        </w:rPr>
        <w:t>genus</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significa un tipo literario. “Género </w:t>
      </w:r>
      <w:r w:rsidRPr="003140BF">
        <w:rPr>
          <w:rFonts w:ascii="Times New Roman" w:eastAsia="Times New Roman" w:hAnsi="Times New Roman" w:cs="Times New Roman"/>
          <w:color w:val="292E35"/>
          <w:kern w:val="0"/>
          <w:sz w:val="24"/>
          <w:szCs w:val="24"/>
          <w14:ligatures w14:val="none"/>
        </w:rPr>
        <w:t xml:space="preserve">literario” se refiere a la categoría o tipo de escritura caracterizada por forma(s) particular(es) y/o contenido. Distinguir entre los varios géneros (tipos de literatura) en la Escritura nos ayuda a interpretar la Biblia de una manera más precisa. “Esto lo hacemos con todo tipo de literatura. Distinguimos entre poesía lírica y documentos legales, entre relatos de eventos actuales en el periódico y poemas épicos. </w:t>
      </w:r>
      <w:r w:rsidRPr="003140BF">
        <w:rPr>
          <w:rFonts w:ascii="Times New Roman" w:eastAsia="Times New Roman" w:hAnsi="Times New Roman" w:cs="Times New Roman"/>
          <w:color w:val="292E35"/>
          <w:kern w:val="0"/>
          <w:sz w:val="24"/>
          <w:szCs w:val="24"/>
          <w14:ligatures w14:val="none"/>
        </w:rPr>
        <w:lastRenderedPageBreak/>
        <w:t>Distinguimos entre el estilo de las narraciones históricas y sermones”.</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Marshall hace algunas observaciones interesantes sobre el asunto:</w:t>
      </w:r>
    </w:p>
    <w:p w14:paraId="14A2352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Si tuviera que escribir un relato de lo que hice el día de Navidad, el estilo en que lo haría variaría dependiendo de si estaba escribiendo una carta a mi tía, o produciendo un reporte para el periódico, o escribiendo una historia navideña infantil basada en mis experiencias, o componiendo un poema basado en ella, o incluso escribiendo una canción sobre ella. Son estilos diferentes para cada una de estas ocasiones.</w:t>
      </w:r>
    </w:p>
    <w:p w14:paraId="2DDE094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3A161EF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Respecto a esto, es de interés observar que 4 de las 25 afirmaciones incluidas en la Declaración de Chicago Sobre la Hermenéutica Bíblica se refieren a una forma literaria.</w:t>
      </w:r>
    </w:p>
    <w:p w14:paraId="7DAFACF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78B96D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“AFIRMAMOS que las Escrituras nos comunican verbalmente la verdad de Dios en una amplia variedad de formas literarias” (Articulo X). “AFIRMAMOS que, para obtener una exégesis correcta, es esencial el estar consciente de las categorías literarias, formales y estilísticas de las diferentes partes de las Escrituras; por consiguiente, consideramos que la crítica de género es una de las muchas disciplinas usadas en el estudio bíblico. (Artículo XIII). “AFIRMAMOS que los documentos bíblicos de acontecimientos, disertaciones y dichos corresponden a hechos históricos, aunque estén presentados en una variedad de figuras literarias” (Articulo XIV). “AFIRMAMOS la necesidad de interpretar la Biblia de acuerdo con su sentido literal o normal. El sentido literal es el sentido histórico-gramático, esto es, el significado que expresó el escritor. La interpretación hecha de acuerdo con el sentido literal tendrá en cuenta todas las figuras retóricas y literarias encontradas en el texto”. (Artículo XV).</w:t>
      </w:r>
    </w:p>
    <w:p w14:paraId="21275E0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7E4DE4F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¿Cuáles son algunos de los géneros literarios en la Biblia?</w:t>
      </w:r>
    </w:p>
    <w:p w14:paraId="0D54BB3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1</w:t>
      </w:r>
      <w:r w:rsidRPr="003140BF">
        <w:rPr>
          <w:rFonts w:ascii="Times New Roman" w:eastAsia="Times New Roman" w:hAnsi="Times New Roman" w:cs="Times New Roman"/>
          <w:i/>
          <w:iCs/>
          <w:color w:val="000000"/>
          <w:kern w:val="0"/>
          <w:sz w:val="24"/>
          <w:szCs w:val="24"/>
          <w:bdr w:val="single" w:sz="2" w:space="0" w:color="E2E8F0" w:frame="1"/>
          <w14:ligatures w14:val="none"/>
        </w:rPr>
        <w:t>. Legal</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Aunque el término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ley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generalmente se refiere a los primeros cinco </w:t>
      </w:r>
      <w:r w:rsidRPr="003140BF">
        <w:rPr>
          <w:rFonts w:ascii="Times New Roman" w:eastAsia="Times New Roman" w:hAnsi="Times New Roman" w:cs="Times New Roman"/>
          <w:color w:val="292E35"/>
          <w:kern w:val="0"/>
          <w:sz w:val="24"/>
          <w:szCs w:val="24"/>
          <w14:ligatures w14:val="none"/>
        </w:rPr>
        <w:t>libros de la Biblia, el material legal, es decir, el conjunto de textos que incluyen mandamientos para los Israelitas se encuentra en Éxodo 20-40, el Libro de Levítico, porciones del Libro de Números (capítulos 5-6, 15, 18-19, 28-30, 34-35), y en casi todo el Libro de Deuteronomio. Hay dos tipos de material legal incluidos. Uno de ellos es la ley apodíctica. Estos son mandatos directos que generalmente comienzan con la palabra “No”, como en los Diez Mandamientos (Éxodo 20:3-17), o como en Levítico (Lev. 18:7-24; 19:9-19, 26-29, 31, 35). Estas leyes no son necesariamente exhaustivas. En 19:14 el Señor le dijo a Moisés que le dijera al pueblo que no maldijera al sordo, o pusiera tropiezo delante del ciego. Supongamos que un israelita hirió a un mudo, cojo o retrasado. Parece ser obvio que este principio, que habla específicamente de gente sorda o ciega, debería también ser aplicado a otros tipos de individuos discapacitados.</w:t>
      </w:r>
    </w:p>
    <w:p w14:paraId="069EA90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0FC699E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Otro tipo de material legal en estos libros del Antiguo Testamento es la ley casuística. Esto significa una ley de caso por caso. En estos mandatos, la ley es introducida mediante una condición que expone una situación específica. Unos ejemplos se encuentran en Levítico 20:9-18, 20-21 y Deuteronomio 15:7-17. Éxodo 23:4-5 presenta una sola ley casuística, situada en medio de varias leyes apodícticas en los versículos 1-2, 6-9. Nuevamente, estas no son exhaustivas. La instrucción </w:t>
      </w: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en esos versículos se refiere al burro o buey de un enemigo. Pero ¿qué tal si un enemigo posee un camello o un borrego que se pierde? Obviamente el ejemplo del buey o el burro no pretende excluir la referencia a otros animales.</w:t>
      </w:r>
    </w:p>
    <w:p w14:paraId="510A12A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0A7A2FD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2</w:t>
      </w:r>
      <w:r w:rsidRPr="003140BF">
        <w:rPr>
          <w:rFonts w:ascii="Times New Roman" w:eastAsia="Times New Roman" w:hAnsi="Times New Roman" w:cs="Times New Roman"/>
          <w:i/>
          <w:iCs/>
          <w:color w:val="000000"/>
          <w:kern w:val="0"/>
          <w:sz w:val="24"/>
          <w:szCs w:val="24"/>
          <w:bdr w:val="single" w:sz="2" w:space="0" w:color="E2E8F0" w:frame="1"/>
          <w14:ligatures w14:val="none"/>
        </w:rPr>
        <w:t>. Narrativa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Una narración es, por supuesto, una </w:t>
      </w:r>
      <w:r w:rsidRPr="003140BF">
        <w:rPr>
          <w:rFonts w:ascii="Times New Roman" w:eastAsia="Times New Roman" w:hAnsi="Times New Roman" w:cs="Times New Roman"/>
          <w:color w:val="292E35"/>
          <w:kern w:val="0"/>
          <w:sz w:val="24"/>
          <w:szCs w:val="24"/>
          <w14:ligatures w14:val="none"/>
        </w:rPr>
        <w:t>historia, pero una narración bíblica es una historia contada con el propósito de transmitir un mensaje a través de las personas, y de sus problemas y situaciones. Las narraciones bíblicas son selectivas e ilustrativas. Los relatos bíblicos no pretenden ser biografías completas dando todos los detalles de la vida de los individuos; los escritores seleccionaron cuidadosamente el material que incluyeron (por supuesto lo hicieron bajo la inspiración del Espíritu Santo) para lograr ciertos propósitos. El segundo libro de Samuel, por ejemplo, incluye material seleccionado de la vida de David para mostrar en los primeros 10 capítulos cómo él estableció y extendió su reino. Luego, los capítulos 11 y 12 registran su pecado con Betsabé y Urías. Los capítulos 13-21 demuestran los muchos pecados personales y nacionales de David. Los tres capítulos finales (22-24) registran su canción de adoración, sus últimas palabras, una lista de sus hombres, y la construcción de un altar. Los eventos registrados en los capítulos 13-21 fueron seleccionados para ilustrar —sin que el escritor lo haya declarado explícitamente en tantas palabras— que el pecado resulta en consecuencias devastadoras.</w:t>
      </w:r>
    </w:p>
    <w:p w14:paraId="0C8A142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834468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Por otro lado, 1 y 2 de Crónicas no incluyen partes de ese material. Estos libros omiten cualquier referencia a los pecados de David, y en su lugar, incluyen material extenso sobre David como rey, y sobre los sacerdotes y el templo. ¿Por qué es así? Cuando los judíos regresaron del Cautiverio Babilónico bajo el liderazgo de Zorobabel (538 A.C.) y Esdras (458 A.C.); en esencia, la gente decía: “Nuestro templo es insignificante y no tenemos rey”. Por consiguiente, 1 y 2 de Crónicas fueron escritos para alentar a la gente a reconocer que la línea de David continuaría y que el templo continuaría. El primero de estos habla de la esperanza para el futuro y el </w:t>
      </w:r>
      <w:proofErr w:type="gramStart"/>
      <w:r w:rsidRPr="003140BF">
        <w:rPr>
          <w:rFonts w:ascii="Times New Roman" w:eastAsia="Times New Roman" w:hAnsi="Times New Roman" w:cs="Times New Roman"/>
          <w:color w:val="000000"/>
          <w:kern w:val="0"/>
          <w:sz w:val="24"/>
          <w:szCs w:val="24"/>
          <w:bdr w:val="single" w:sz="2" w:space="0" w:color="E2E8F0" w:frame="1"/>
          <w14:ligatures w14:val="none"/>
        </w:rPr>
        <w:t>segundo muestra</w:t>
      </w:r>
      <w:proofErr w:type="gramEnd"/>
      <w:r w:rsidRPr="003140BF">
        <w:rPr>
          <w:rFonts w:ascii="Times New Roman" w:eastAsia="Times New Roman" w:hAnsi="Times New Roman" w:cs="Times New Roman"/>
          <w:color w:val="000000"/>
          <w:kern w:val="0"/>
          <w:sz w:val="24"/>
          <w:szCs w:val="24"/>
          <w:bdr w:val="single" w:sz="2" w:space="0" w:color="E2E8F0" w:frame="1"/>
          <w14:ligatures w14:val="none"/>
        </w:rPr>
        <w:t xml:space="preserve"> su herencia del pasado. Teniendo en cuenta estos dos hechos, la gente que leyera 1 y 2 de Crónicas sería animada a ser fiel y a confiar en el Señor.</w:t>
      </w:r>
    </w:p>
    <w:p w14:paraId="7883915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A6CD6E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En el Libro de Rut, ¿por qué incluyó el escritor una genealogía en 4:17-21, cuando fácilmente se pudo haber dejado fuera del libro? Parece que todo el libro está mostrando implícitamente el hecho de que Rut y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Booz</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por ser fieles al Señor, son un vínculo importante en la ascendencia del Rey David. La genealogía en Rut 4 hace referencia a David dos veces (vv. 17, 21).</w:t>
      </w:r>
    </w:p>
    <w:p w14:paraId="6C7D639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163560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Las narraciones suelen seguir un patrón en el que se produce un problema casi al principio de la narración, con complicaciones que van aumentando hasta llegar al clímax. Y después, la narración se mueve hacia una solución del problema y concluye con el problema resuelto.</w:t>
      </w:r>
    </w:p>
    <w:p w14:paraId="7AE7216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0FFA543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 medida que el problema se desarrolla, por lo general se intensifica el suspenso y los problemas y relaciones se vuelven más complicados hasta llegar a un clímax dramático.</w:t>
      </w:r>
    </w:p>
    <w:p w14:paraId="117DF1D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27B3847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lang w:val="en-US"/>
          <w14:ligatures w14:val="none"/>
        </w:rPr>
      </w:pP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Coterrell</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y Turner le llaman al clímax “pico”. “En las historias narrativas es común encontrar un pico hacia el cual avanza el relato, y del cual hay un descenso rápido”.</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Al leer las narraciones de la Biblia, busque este patrón. </w:t>
      </w:r>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Las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narraciones</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pueden</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 ser de seis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tipos</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w:t>
      </w:r>
    </w:p>
    <w:p w14:paraId="2CEEC93D" w14:textId="77777777" w:rsidR="003140BF" w:rsidRPr="003140BF" w:rsidRDefault="003140BF" w:rsidP="003140BF">
      <w:pPr>
        <w:numPr>
          <w:ilvl w:val="0"/>
          <w:numId w:val="1"/>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Tragedia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Una tragedia es una historia de la caída de </w:t>
      </w:r>
      <w:r w:rsidRPr="003140BF">
        <w:rPr>
          <w:rFonts w:ascii="Times New Roman" w:eastAsia="Times New Roman" w:hAnsi="Times New Roman" w:cs="Times New Roman"/>
          <w:color w:val="292E35"/>
          <w:kern w:val="0"/>
          <w:sz w:val="24"/>
          <w:szCs w:val="24"/>
          <w14:ligatures w14:val="none"/>
        </w:rPr>
        <w:t>una persona, de la verdad a la catástrofe. Sansón, Saúl y Salomón son ejemplos de una historia trágica.</w:t>
      </w:r>
    </w:p>
    <w:p w14:paraId="5FAAFF7A" w14:textId="77777777" w:rsidR="003140BF" w:rsidRPr="003140BF" w:rsidRDefault="003140BF" w:rsidP="003140BF">
      <w:pPr>
        <w:numPr>
          <w:ilvl w:val="0"/>
          <w:numId w:val="1"/>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Épica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La épica es una historia larga con una </w:t>
      </w:r>
      <w:r w:rsidRPr="003140BF">
        <w:rPr>
          <w:rFonts w:ascii="Times New Roman" w:eastAsia="Times New Roman" w:hAnsi="Times New Roman" w:cs="Times New Roman"/>
          <w:color w:val="292E35"/>
          <w:kern w:val="0"/>
          <w:sz w:val="24"/>
          <w:szCs w:val="24"/>
          <w14:ligatures w14:val="none"/>
        </w:rPr>
        <w:t>serie de episodios unidos en torno a un individuo o a un grupo de personas. Un ejemplo de esto es el peregrinaje de Israel en el desierto.</w:t>
      </w:r>
    </w:p>
    <w:p w14:paraId="3E17CEC0" w14:textId="77777777" w:rsidR="003140BF" w:rsidRPr="003140BF" w:rsidRDefault="003140BF" w:rsidP="003140BF">
      <w:pPr>
        <w:numPr>
          <w:ilvl w:val="0"/>
          <w:numId w:val="1"/>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Romance</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 romance es una historia en la que se </w:t>
      </w:r>
      <w:r w:rsidRPr="003140BF">
        <w:rPr>
          <w:rFonts w:ascii="Times New Roman" w:eastAsia="Times New Roman" w:hAnsi="Times New Roman" w:cs="Times New Roman"/>
          <w:color w:val="292E35"/>
          <w:kern w:val="0"/>
          <w:sz w:val="24"/>
          <w:szCs w:val="24"/>
          <w14:ligatures w14:val="none"/>
        </w:rPr>
        <w:t>narra una relación amorosa entre un hombre y una mujer. Los Libros de Rut y de Cantares son ilustraciones de este tipo de narración.</w:t>
      </w:r>
    </w:p>
    <w:p w14:paraId="32637704" w14:textId="77777777" w:rsidR="003140BF" w:rsidRPr="003140BF" w:rsidRDefault="003140BF" w:rsidP="003140BF">
      <w:pPr>
        <w:numPr>
          <w:ilvl w:val="0"/>
          <w:numId w:val="1"/>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Heroica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Una narrativa heroica es una historia </w:t>
      </w:r>
      <w:r w:rsidRPr="003140BF">
        <w:rPr>
          <w:rFonts w:ascii="Times New Roman" w:eastAsia="Times New Roman" w:hAnsi="Times New Roman" w:cs="Times New Roman"/>
          <w:color w:val="292E35"/>
          <w:kern w:val="0"/>
          <w:sz w:val="24"/>
          <w:szCs w:val="24"/>
          <w14:ligatures w14:val="none"/>
        </w:rPr>
        <w:t xml:space="preserve">construida en torno a la vida y proezas de un héroe o protagonista, un individuo quien a veces es un representante de otros o un ejemplo para otros. </w:t>
      </w:r>
      <w:proofErr w:type="spellStart"/>
      <w:r w:rsidRPr="003140BF">
        <w:rPr>
          <w:rFonts w:ascii="Times New Roman" w:eastAsia="Times New Roman" w:hAnsi="Times New Roman" w:cs="Times New Roman"/>
          <w:color w:val="292E35"/>
          <w:kern w:val="0"/>
          <w:sz w:val="24"/>
          <w:szCs w:val="24"/>
          <w:lang w:val="en-US"/>
          <w14:ligatures w14:val="none"/>
        </w:rPr>
        <w:t>Algunos</w:t>
      </w:r>
      <w:proofErr w:type="spellEnd"/>
      <w:r w:rsidRPr="003140BF">
        <w:rPr>
          <w:rFonts w:ascii="Times New Roman" w:eastAsia="Times New Roman" w:hAnsi="Times New Roman" w:cs="Times New Roman"/>
          <w:color w:val="292E35"/>
          <w:kern w:val="0"/>
          <w:sz w:val="24"/>
          <w:szCs w:val="24"/>
          <w:lang w:val="en-US"/>
          <w14:ligatures w14:val="none"/>
        </w:rPr>
        <w:t xml:space="preserve"> </w:t>
      </w:r>
      <w:proofErr w:type="spellStart"/>
      <w:r w:rsidRPr="003140BF">
        <w:rPr>
          <w:rFonts w:ascii="Times New Roman" w:eastAsia="Times New Roman" w:hAnsi="Times New Roman" w:cs="Times New Roman"/>
          <w:color w:val="292E35"/>
          <w:kern w:val="0"/>
          <w:sz w:val="24"/>
          <w:szCs w:val="24"/>
          <w:lang w:val="en-US"/>
          <w14:ligatures w14:val="none"/>
        </w:rPr>
        <w:t>ejemplos</w:t>
      </w:r>
      <w:proofErr w:type="spellEnd"/>
      <w:r w:rsidRPr="003140BF">
        <w:rPr>
          <w:rFonts w:ascii="Times New Roman" w:eastAsia="Times New Roman" w:hAnsi="Times New Roman" w:cs="Times New Roman"/>
          <w:color w:val="292E35"/>
          <w:kern w:val="0"/>
          <w:sz w:val="24"/>
          <w:szCs w:val="24"/>
          <w:lang w:val="en-US"/>
          <w14:ligatures w14:val="none"/>
        </w:rPr>
        <w:t xml:space="preserve"> son Abraham, Gedeón, David, Daniel y Pablo.</w:t>
      </w:r>
    </w:p>
    <w:p w14:paraId="2CD99112" w14:textId="77777777" w:rsidR="003140BF" w:rsidRPr="003140BF" w:rsidRDefault="003140BF" w:rsidP="003140BF">
      <w:pPr>
        <w:numPr>
          <w:ilvl w:val="0"/>
          <w:numId w:val="1"/>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Sátira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Una narrativa satírica es una exposición </w:t>
      </w:r>
      <w:r w:rsidRPr="003140BF">
        <w:rPr>
          <w:rFonts w:ascii="Times New Roman" w:eastAsia="Times New Roman" w:hAnsi="Times New Roman" w:cs="Times New Roman"/>
          <w:color w:val="292E35"/>
          <w:kern w:val="0"/>
          <w:sz w:val="24"/>
          <w:szCs w:val="24"/>
          <w14:ligatures w14:val="none"/>
        </w:rPr>
        <w:t>del vicio o necedad humana a través de una burla o reprimenda. El Libro de Jonás es una sátira porque Jonás, como representante de Israel, es ridiculizado por negarse a aceptar el amor universal de Dios. Irónicamente, él estaba más preocupado por una planta que por los paganos en Nínive. También es irónico que Dios tuviera compasión de Jonás, aunque el profeta no tuvo compasión de los habitantes de Nínive. Muchos lectores del Libro de Jonás han señalado que termina de una manera muy repentina con el problema del enojo del profeta aparentemente sin resolver. La razón de esto es que a menudo, así terminan las sátiras. La humillación de Jonás es un final apropiado para una sátira, y los israelitas se enfrentan al reto de verse a sí mismos y ver su actitud para con las naciones paganas en la actitud de Jonás. (El hecho de que el Libro de Jonás fue escrito como una sátira no anula el hecho de que es un libro histórico).</w:t>
      </w:r>
    </w:p>
    <w:p w14:paraId="319F375B" w14:textId="77777777" w:rsidR="003140BF" w:rsidRPr="003140BF" w:rsidRDefault="003140BF" w:rsidP="003140BF">
      <w:pPr>
        <w:numPr>
          <w:ilvl w:val="0"/>
          <w:numId w:val="1"/>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Polémica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Una narración polémica es un ataque </w:t>
      </w:r>
      <w:r w:rsidRPr="003140BF">
        <w:rPr>
          <w:rFonts w:ascii="Times New Roman" w:eastAsia="Times New Roman" w:hAnsi="Times New Roman" w:cs="Times New Roman"/>
          <w:color w:val="292E35"/>
          <w:kern w:val="0"/>
          <w:sz w:val="24"/>
          <w:szCs w:val="24"/>
          <w14:ligatures w14:val="none"/>
        </w:rPr>
        <w:t>agresivo en contra de las perspectivas de otros o una refutación de ellas. Algunos ejemplos de esto son, el “reto” de Elías con los 450 profetas de Baal (1 Reyes 18:16-46), y las 10 plagas en contra de los dioses y las diosas de Egipto.</w:t>
      </w:r>
    </w:p>
    <w:p w14:paraId="441B736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color w:val="000000"/>
          <w:kern w:val="0"/>
          <w:sz w:val="24"/>
          <w:szCs w:val="24"/>
          <w:bdr w:val="single" w:sz="2" w:space="0" w:color="E2E8F0" w:frame="1"/>
          <w14:ligatures w14:val="none"/>
        </w:rPr>
        <w:t> </w:t>
      </w:r>
    </w:p>
    <w:p w14:paraId="6C270BF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3</w:t>
      </w:r>
      <w:r w:rsidRPr="003140BF">
        <w:rPr>
          <w:rFonts w:ascii="Times New Roman" w:eastAsia="Times New Roman" w:hAnsi="Times New Roman" w:cs="Times New Roman"/>
          <w:i/>
          <w:iCs/>
          <w:color w:val="000000"/>
          <w:kern w:val="0"/>
          <w:sz w:val="24"/>
          <w:szCs w:val="24"/>
          <w:bdr w:val="single" w:sz="2" w:space="0" w:color="E2E8F0" w:frame="1"/>
          <w14:ligatures w14:val="none"/>
        </w:rPr>
        <w:t>. Poesía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Los Libros de Job, Salmos, Proverbios, </w:t>
      </w:r>
      <w:r w:rsidRPr="003140BF">
        <w:rPr>
          <w:rFonts w:ascii="Times New Roman" w:eastAsia="Times New Roman" w:hAnsi="Times New Roman" w:cs="Times New Roman"/>
          <w:color w:val="292E35"/>
          <w:kern w:val="0"/>
          <w:sz w:val="24"/>
          <w:szCs w:val="24"/>
          <w14:ligatures w14:val="none"/>
        </w:rPr>
        <w:t xml:space="preserve">Eclesiastés y Cantares son los cinco libros poéticos principales del Antiguo Testamento. Sin embargo, la poesía está incluida en muchos de los libros proféticos. La NVI presenta el material en estilo poético para que la distinción entre la poesía y la prosa sea fácil de percibir. La poesía también está incluida en porciones de la primera parte del Antiguo Testamento, incluyendo Éxodo 15; Jueces 5; y 1 Samuel 2. En el Nuevo Testamento, la canción de María está en forma poética (Lucas 1:46-55) igual que las palabras de Zacarías (vv. 67-79). Un rasgo distintivo de la poesía de la Biblia es que dos (y a veces tres o cuatro) líneas se expresan en forma paralela. Esto contrasta con la poesía inglesa, la cual generalmente se caracteriza por la métrica y la rima, ninguna de las cuales se presenta como una </w:t>
      </w:r>
      <w:r w:rsidRPr="003140BF">
        <w:rPr>
          <w:rFonts w:ascii="Times New Roman" w:eastAsia="Times New Roman" w:hAnsi="Times New Roman" w:cs="Times New Roman"/>
          <w:color w:val="292E35"/>
          <w:kern w:val="0"/>
          <w:sz w:val="24"/>
          <w:szCs w:val="24"/>
          <w14:ligatures w14:val="none"/>
        </w:rPr>
        <w:lastRenderedPageBreak/>
        <w:t>característica regular de la poesía hebrea. Los eruditos han debatido ampliamente sobre la cuestión de la métrica en la poesía hebrea. Su incapacidad de llegar a un consenso sobre este asunto muestra la ausencia de una métrica reconocida en la poesía de la Biblia. De vez en cuando hay rima en algunos versículos poéticos, pero esto no es común. Los tipos de paralelismo poético se verán más adelante en este capítulo.</w:t>
      </w:r>
    </w:p>
    <w:p w14:paraId="3103AD0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511770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Por supuesto, los Salmos han sido escritos en forma poética. Hay varios tipos de Salmos que generalmente son reconocidos: lamento colectivo, lamento individual, declaración colectiva de alabanza, declaración individual de alabanza, y alabanza descriptiva.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Un lamento colectivo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generalmente tiene una petición de </w:t>
      </w:r>
      <w:r w:rsidRPr="003140BF">
        <w:rPr>
          <w:rFonts w:ascii="Times New Roman" w:eastAsia="Times New Roman" w:hAnsi="Times New Roman" w:cs="Times New Roman"/>
          <w:color w:val="292E35"/>
          <w:kern w:val="0"/>
          <w:sz w:val="24"/>
          <w:szCs w:val="24"/>
          <w14:ligatures w14:val="none"/>
        </w:rPr>
        <w:t xml:space="preserve">introducción, el propio lamento, una declaración de confianza, una petición de que el salmista sea escuchado y liberado, y un voto de alabanza. Algunos ejemplos son los Salmos 12, 44, 80, 94 y 137.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Un lamento individual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generalmente incluye una introducción (dirigiéndose </w:t>
      </w:r>
      <w:r w:rsidRPr="003140BF">
        <w:rPr>
          <w:rFonts w:ascii="Times New Roman" w:eastAsia="Times New Roman" w:hAnsi="Times New Roman" w:cs="Times New Roman"/>
          <w:color w:val="292E35"/>
          <w:kern w:val="0"/>
          <w:sz w:val="24"/>
          <w:szCs w:val="24"/>
          <w14:ligatures w14:val="none"/>
        </w:rPr>
        <w:t xml:space="preserve">a y/o volviéndose a Dios, y clamor pidiendo ayuda), el propio lamento, (que se refiere a los enemigos del salmista, al propio salmista, y a Dios), una declaración de confianza, una petición de ser escuchado y liberado, una expresión de confianza de que el salmista ha sido escuchado, y un voto de alabanza. A veces, un informe de la liberación también es incluido. Algunos ejemplos son los Salmos 3, 22, 31, 39, 42, 57, 71, 120, 139 y 142.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Una declaración colectiva de alabanza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incluye una exhortación, palabras de </w:t>
      </w:r>
      <w:r w:rsidRPr="003140BF">
        <w:rPr>
          <w:rFonts w:ascii="Times New Roman" w:eastAsia="Times New Roman" w:hAnsi="Times New Roman" w:cs="Times New Roman"/>
          <w:color w:val="292E35"/>
          <w:kern w:val="0"/>
          <w:sz w:val="24"/>
          <w:szCs w:val="24"/>
          <w14:ligatures w14:val="none"/>
        </w:rPr>
        <w:t>alabanza, una reflexión sobre las necesidades del pasado, y el informe de la liberación. Algunos ejemplos son los Salmos 65, 67, 75, 107, 124 y 136.</w:t>
      </w:r>
    </w:p>
    <w:p w14:paraId="3A0F213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179987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En una </w:t>
      </w:r>
      <w:r w:rsidRPr="003140BF">
        <w:rPr>
          <w:rFonts w:ascii="Times New Roman" w:eastAsia="Times New Roman" w:hAnsi="Times New Roman" w:cs="Times New Roman"/>
          <w:b/>
          <w:bCs/>
          <w:i/>
          <w:iCs/>
          <w:color w:val="000000"/>
          <w:kern w:val="0"/>
          <w:sz w:val="24"/>
          <w:szCs w:val="24"/>
          <w:bdr w:val="single" w:sz="2" w:space="0" w:color="E2E8F0" w:frame="1"/>
          <w14:ligatures w14:val="none"/>
        </w:rPr>
        <w:t>declaración individual de alabanza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se da una proclamación, se incluye un </w:t>
      </w:r>
      <w:r w:rsidRPr="003140BF">
        <w:rPr>
          <w:rFonts w:ascii="Times New Roman" w:eastAsia="Times New Roman" w:hAnsi="Times New Roman" w:cs="Times New Roman"/>
          <w:color w:val="292E35"/>
          <w:kern w:val="0"/>
          <w:sz w:val="24"/>
          <w:szCs w:val="24"/>
          <w14:ligatures w14:val="none"/>
        </w:rPr>
        <w:t xml:space="preserve">resumen introductorio, se cita una reflexión de las necesidades del pasado, y enseguida se da el informe de la liberación con una promesa renovada de alabanza descriptiva y/o una instrucción. Algunos ejemplos incluyen a los Salmos 18, 30, 32, 34, 40, 66, 92, 116, 118, 138. Un salmo de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alabanza descriptiva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incluye un llamado a la alabanza (lo cual </w:t>
      </w:r>
      <w:r w:rsidRPr="003140BF">
        <w:rPr>
          <w:rFonts w:ascii="Times New Roman" w:eastAsia="Times New Roman" w:hAnsi="Times New Roman" w:cs="Times New Roman"/>
          <w:color w:val="292E35"/>
          <w:kern w:val="0"/>
          <w:sz w:val="24"/>
          <w:szCs w:val="24"/>
          <w14:ligatures w14:val="none"/>
        </w:rPr>
        <w:t xml:space="preserve">incluye un prólogo de aleluya y una invitación a que los lectores alaben al Señor), una declaración de la causa de alabanza (aludiendo la grandiosidad de Dios en Su creación, Su gracia en la historia e ilustraciones específicas), y una conclusión que da un llamado nuevo a la alabanza, una reiteración de la causa de alabanza o una declaración de bendición. Algunos Salmos de alabanza descriptiva son 8, 19, 104, 148 (que Lo exaltan como Creador), 66, 100, 111, 114, 149 (que Lo alaban como el protector de Israel), y 33, 103, 113, 117, 145-147 (que alaban a Dios como el Señor de la historia). Además, algunos Salmos se llaman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cantos de Sion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(46, 48, 76, 84, 87, 122), muchos otros se llaman salmos de sabiduría (36-37, 49, 73, 112, 127-128, 133), y 10 son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cantos de confianza </w:t>
      </w:r>
      <w:r w:rsidRPr="003140BF">
        <w:rPr>
          <w:rFonts w:ascii="Times New Roman" w:eastAsia="Times New Roman" w:hAnsi="Times New Roman" w:cs="Times New Roman"/>
          <w:color w:val="000000"/>
          <w:kern w:val="0"/>
          <w:sz w:val="24"/>
          <w:szCs w:val="24"/>
          <w:bdr w:val="single" w:sz="2" w:space="0" w:color="E2E8F0" w:frame="1"/>
          <w14:ligatures w14:val="none"/>
        </w:rPr>
        <w:t>(11, 16, 23, 27, 62-63, 91, 121, 125, 131).</w:t>
      </w:r>
    </w:p>
    <w:p w14:paraId="60D9E4A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22254D6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Al estudiar e interpretar los salmos es importante hacer lo siguiente: (a) buscar la categoría del salmo y los elementos dentro de cada categoría, (b) reconocer que se incluyen muchas figuras retóricas (vea capítulo 7 sobre figuras retóricas), (c) notar los tipos de paralelismo en los versículos (vea la p. 138 sobre paralelismo poético), (d) estudiar el trasfondo histórico de los salmos, y (e) encontrar la idea central, el mensaje o pensamiento unificador en el salmo.</w:t>
      </w:r>
    </w:p>
    <w:p w14:paraId="0C1762D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 </w:t>
      </w:r>
    </w:p>
    <w:p w14:paraId="7838176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Los Salmos deben ser vistos como una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guía para la </w:t>
      </w:r>
      <w:r w:rsidRPr="003140BF">
        <w:rPr>
          <w:rFonts w:ascii="Times New Roman" w:eastAsia="Times New Roman" w:hAnsi="Times New Roman" w:cs="Times New Roman"/>
          <w:b/>
          <w:bCs/>
          <w:i/>
          <w:iCs/>
          <w:color w:val="292E35"/>
          <w:kern w:val="0"/>
          <w:sz w:val="24"/>
          <w:szCs w:val="24"/>
          <w:bdr w:val="single" w:sz="2" w:space="0" w:color="E2E8F0" w:frame="1"/>
          <w14:ligatures w14:val="none"/>
        </w:rPr>
        <w:t>adoración</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Como el salmista, podemos usar los Salmos para capacitarnos en alabar a Dios, hacerle peticiones, y recordar Sus beneficios. También podemos aprender de los Salmos cómo </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relacionarnos honestamente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con Dios al expresar gozo, desilusión, enojo </w:t>
      </w:r>
      <w:r w:rsidRPr="003140BF">
        <w:rPr>
          <w:rFonts w:ascii="Times New Roman" w:eastAsia="Times New Roman" w:hAnsi="Times New Roman" w:cs="Times New Roman"/>
          <w:color w:val="292E35"/>
          <w:kern w:val="0"/>
          <w:sz w:val="24"/>
          <w:szCs w:val="24"/>
          <w14:ligatures w14:val="none"/>
        </w:rPr>
        <w:t>u otras emociones. Los Salmos también se pueden usar para animarnos a reflexionar y meditar sobre lo que Dios ha hecho por nosotros.</w:t>
      </w:r>
    </w:p>
    <w:p w14:paraId="1AE63B2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0D775F1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4</w:t>
      </w:r>
      <w:r w:rsidRPr="003140BF">
        <w:rPr>
          <w:rFonts w:ascii="Times New Roman" w:eastAsia="Times New Roman" w:hAnsi="Times New Roman" w:cs="Times New Roman"/>
          <w:i/>
          <w:iCs/>
          <w:color w:val="000000"/>
          <w:kern w:val="0"/>
          <w:sz w:val="24"/>
          <w:szCs w:val="24"/>
          <w:bdr w:val="single" w:sz="2" w:space="0" w:color="E2E8F0" w:frame="1"/>
          <w14:ligatures w14:val="none"/>
        </w:rPr>
        <w:t>. Literatura de sabiduría.</w:t>
      </w: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Los libros de Sabiduría son Job, Proverbios y </w:t>
      </w:r>
      <w:r w:rsidRPr="003140BF">
        <w:rPr>
          <w:rFonts w:ascii="Times New Roman" w:eastAsia="Times New Roman" w:hAnsi="Times New Roman" w:cs="Times New Roman"/>
          <w:color w:val="292E35"/>
          <w:kern w:val="0"/>
          <w:sz w:val="24"/>
          <w:szCs w:val="24"/>
          <w14:ligatures w14:val="none"/>
        </w:rPr>
        <w:t>Eclesiastés. (Algunos también incluyen a Cantares en este grupo). Toda la literatura de Sabiduría es poesía, pero no todo el material poético es literatura de Sabiduría. Dos tipos de literatura de Sabiduría se encuentran en estos libros. Uno es literatura proverbial, que se encuentra en el Libro de Proverbios. Los proverbios o máximas son verdades generales basadas en la amplia experiencia y la observación. Estas son pautas que generalmente son verdad. Son guías, no garantías; preceptos, no promesas. Por ejemplo, aunque generalmente es cierto que una persona perezosa experimentará la pobreza, algunas excepciones a esa máxima general podrán observarse en esta vida. También, la piedad de una persona generalmente resulta en una vida larga, como varios proverbios lo declaran, pero hay algunas excepciones de esto que se han observado.</w:t>
      </w:r>
    </w:p>
    <w:p w14:paraId="3787EA1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42C746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Un segundo tipo de literatura de Sabiduría es reflexiva. Esto implica una discusión de los misterios de la vida, como en Job y Eclesiastés.</w:t>
      </w:r>
    </w:p>
    <w:p w14:paraId="687AA3E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43EDD05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5</w:t>
      </w:r>
      <w:r w:rsidRPr="003140BF">
        <w:rPr>
          <w:rFonts w:ascii="Times New Roman" w:eastAsia="Times New Roman" w:hAnsi="Times New Roman" w:cs="Times New Roman"/>
          <w:i/>
          <w:iCs/>
          <w:color w:val="000000"/>
          <w:kern w:val="0"/>
          <w:sz w:val="24"/>
          <w:szCs w:val="24"/>
          <w:bdr w:val="single" w:sz="2" w:space="0" w:color="E2E8F0" w:frame="1"/>
          <w14:ligatures w14:val="none"/>
        </w:rPr>
        <w:t>. Los Evangelios</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Algunas personas tratan a los cuatro Evangelios </w:t>
      </w:r>
      <w:r w:rsidRPr="003140BF">
        <w:rPr>
          <w:rFonts w:ascii="Times New Roman" w:eastAsia="Times New Roman" w:hAnsi="Times New Roman" w:cs="Times New Roman"/>
          <w:color w:val="292E35"/>
          <w:kern w:val="0"/>
          <w:sz w:val="24"/>
          <w:szCs w:val="24"/>
          <w14:ligatures w14:val="none"/>
        </w:rPr>
        <w:t>como relatos históricos, como si esos libros hubieran sido escritos simplemente para registrar la información biográfica de la vida de Cristo. Obviamente no son biografías en el sentido normal porque excluyen mucho material de la vida de Cristo que uno normalmente esperaría encontrar en una biografía histórica. Los Evangelios incluyen una buena cantidad de material biográfico sobre Cristo, pero son mucho más que biografías. Son tanto doctrina como narrativa, presentados para exponer información sobre la persona de Jesucristo. Las enseñanzas de Jesús en parábolas y en discurso directo se entremezclan con los registros de Sus milagros y Sus encuentros con individuos.</w:t>
      </w:r>
    </w:p>
    <w:p w14:paraId="155F99FE"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0FA351B6"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“Los Evangelios son colecciones de historias, mucho más repletas de acción de lo que es habitual en la narrativa. El objetivo primordial de las historias de los Evangelios es explicar y alabar a la Persona y a la obra de Jesús… por medio de Sus acciones, por medio de Sus palabras y por medio de las respuestas de otra gente a Él”.</w:t>
      </w:r>
    </w:p>
    <w:p w14:paraId="07825B9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2F0019E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Al estudiar el Evangelio según Juan es sorprendente notar las numerosas respuestas de fe e incredulidad, de aceptación y rechazo de Cristo, que están documentadas en ese libro.</w:t>
      </w:r>
    </w:p>
    <w:p w14:paraId="31EE844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655EEC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6</w:t>
      </w:r>
      <w:r w:rsidRPr="003140BF">
        <w:rPr>
          <w:rFonts w:ascii="Times New Roman" w:eastAsia="Times New Roman" w:hAnsi="Times New Roman" w:cs="Times New Roman"/>
          <w:i/>
          <w:iCs/>
          <w:color w:val="000000"/>
          <w:kern w:val="0"/>
          <w:sz w:val="24"/>
          <w:szCs w:val="24"/>
          <w:bdr w:val="single" w:sz="2" w:space="0" w:color="E2E8F0" w:frame="1"/>
          <w14:ligatures w14:val="none"/>
        </w:rPr>
        <w:t>. El Discurso lógico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Este género de literatura bíblica también </w:t>
      </w:r>
      <w:r w:rsidRPr="003140BF">
        <w:rPr>
          <w:rFonts w:ascii="Times New Roman" w:eastAsia="Times New Roman" w:hAnsi="Times New Roman" w:cs="Times New Roman"/>
          <w:color w:val="292E35"/>
          <w:kern w:val="0"/>
          <w:sz w:val="24"/>
          <w:szCs w:val="24"/>
          <w14:ligatures w14:val="none"/>
        </w:rPr>
        <w:t xml:space="preserve">se llama literatura epistolar y se refiere a las epístolas del Nuevo Testamento, desde Romanos hasta Judas. Las Epístolas generalmente incluyen dos tipos de material: (a) un discurso expositivo, que expone ciertas </w:t>
      </w:r>
      <w:r w:rsidRPr="003140BF">
        <w:rPr>
          <w:rFonts w:ascii="Times New Roman" w:eastAsia="Times New Roman" w:hAnsi="Times New Roman" w:cs="Times New Roman"/>
          <w:color w:val="292E35"/>
          <w:kern w:val="0"/>
          <w:sz w:val="24"/>
          <w:szCs w:val="24"/>
          <w14:ligatures w14:val="none"/>
        </w:rPr>
        <w:lastRenderedPageBreak/>
        <w:t>verdades o doctrinas, a menudo con apoyo lógico para esas verdades, y (b) un discurso que incluye exhortaciones a segur ciertos cursos de acción o a desarrollar ciertas características a la luz de las verdades presentadas en el material del discurso expositivo.</w:t>
      </w:r>
    </w:p>
    <w:p w14:paraId="49B58D8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504247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En su forma, las Epístolas usualmente comienzan nombrando el autor, los destinatarios (la persona o las personas a quien se dirige la carta), palabras de saludo, y generalmente, aunque no siempre, expresiones de gratitud por algún aspecto de la conducta o carácter de los lectores. Las Epístolas obviamente difieren de las cartas privadas, en que son presentadas como mensajes de Dios con algunos de los escritores afirmando directamente que estaban escribiendo bajo la inspiración de Dios el Espíritu Santo; el material se presenta con autoridad apostólica y fue escrito con el propósito de ser leído en las iglesias. Este último punto es cierto también de 2 Timoteo que supuestamente era una carta privada, porque en 2 Timoteo 4:22 Pablo utiliza la palabra </w:t>
      </w:r>
      <w:r w:rsidRPr="003140BF">
        <w:rPr>
          <w:rFonts w:ascii="Times New Roman" w:eastAsia="Times New Roman" w:hAnsi="Times New Roman" w:cs="Times New Roman"/>
          <w:b/>
          <w:bCs/>
          <w:i/>
          <w:iCs/>
          <w:color w:val="000000"/>
          <w:kern w:val="0"/>
          <w:sz w:val="24"/>
          <w:szCs w:val="24"/>
          <w:bdr w:val="single" w:sz="2" w:space="0" w:color="E2E8F0" w:frame="1"/>
          <w14:ligatures w14:val="none"/>
        </w:rPr>
        <w:t>vosotros</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con la cual se concluye la epístola. Esta </w:t>
      </w:r>
      <w:r w:rsidRPr="003140BF">
        <w:rPr>
          <w:rFonts w:ascii="Times New Roman" w:eastAsia="Times New Roman" w:hAnsi="Times New Roman" w:cs="Times New Roman"/>
          <w:color w:val="292E35"/>
          <w:kern w:val="0"/>
          <w:sz w:val="24"/>
          <w:szCs w:val="24"/>
          <w14:ligatures w14:val="none"/>
        </w:rPr>
        <w:t>pudo haber sido una sugerencia sutil de parte de Pablo a que Timoteo compartiera esta carta con los demás. (Una vez más, esto ilustra la importancia de observar los elementos gramaticales, como vimos en capítulo 5).</w:t>
      </w:r>
    </w:p>
    <w:p w14:paraId="1AF8366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3F4B342E"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Muchas de las Epístolas fueron dirigidas a grupos locales específicos de creyentes, o individuos (como Timoteo, Tito y Filemón). Este hecho plantea la cuestión de cómo debemos relacionarlas Epístolas y las situaciones específicas tratadas en ellas con nosotros el día de hoy. Esta cuestión se desarrollará más detalladamente en capítulo 12, pero puede ser útil mencionar en este momento que el intérprete de la Biblia debe tener en cuenta las instrucciones en las Epístolas que obviamente son universales y, como consecuencia, aplicables para todas las edades y culturas. Además, es importante distinguir entre los principios y las aplicaciones específicas. Este punto también se refiere a la cuestión de los mandatos culturalmente condicionados contra los transferibles, analizados en el capítulo 4.</w:t>
      </w:r>
    </w:p>
    <w:p w14:paraId="431D95B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106430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7</w:t>
      </w:r>
      <w:r w:rsidRPr="003140BF">
        <w:rPr>
          <w:rFonts w:ascii="Times New Roman" w:eastAsia="Times New Roman" w:hAnsi="Times New Roman" w:cs="Times New Roman"/>
          <w:i/>
          <w:iCs/>
          <w:color w:val="000000"/>
          <w:kern w:val="0"/>
          <w:sz w:val="24"/>
          <w:szCs w:val="24"/>
          <w:bdr w:val="single" w:sz="2" w:space="0" w:color="E2E8F0" w:frame="1"/>
          <w14:ligatures w14:val="none"/>
        </w:rPr>
        <w:t>. La literatura profética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La literatura profética es material que </w:t>
      </w:r>
      <w:r w:rsidRPr="003140BF">
        <w:rPr>
          <w:rFonts w:ascii="Times New Roman" w:eastAsia="Times New Roman" w:hAnsi="Times New Roman" w:cs="Times New Roman"/>
          <w:color w:val="292E35"/>
          <w:kern w:val="0"/>
          <w:sz w:val="24"/>
          <w:szCs w:val="24"/>
          <w14:ligatures w14:val="none"/>
        </w:rPr>
        <w:t>incluye predicciones del futuro en el momento de la redacción del material con mandatos comúnmente incluidos para que los que oyen la profecía ajusten sus vidas a la luz de las predicciones. En el Antiguo Testamento, por ejemplo, a los israelitas se les pidió que prepararan sus corazones para la llegada del Mesías, Jesucristo. Las predicciones de la segunda venida del Señor a menudo incluían un llamado al arrepentimiento del pecado.</w:t>
      </w:r>
    </w:p>
    <w:p w14:paraId="48458B4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EFCFDA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Una forma especial de la literatura profética es el material apocalíptico, el cual se enfoca específicamente en los últimos tiempos, mientras que presenta el material en una forma simbólica.</w:t>
      </w:r>
    </w:p>
    <w:p w14:paraId="3A9CE2B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FB24C8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¿Cómo ayuda el conocimiento del género literario a entender la Biblia?</w:t>
      </w:r>
    </w:p>
    <w:p w14:paraId="662F1D9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Un conocimiento del género literario o del tipo de literatura de cualquier libro de la Biblia ayuda más en la síntesis que en el análisis detallado. Este conocimiento es útil para dar un sentido de la orientación general del libro de la Biblia, para que los versículos y párrafos puedan ser vistos a la luz del cuadro general. Esto ayuda a evitar el problema de tomar versículos fuera de contexto. </w:t>
      </w: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También da claridad sobre la naturaleza y el propósito de un libro entero, como se ve, por ejemplo, en el Libro de Jonás.</w:t>
      </w:r>
    </w:p>
    <w:p w14:paraId="388F841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4CC77A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Los patrones estructurales nos ayudan a comprender por qué ciertos pasajes fueron incluidos donde están. También, el prestar atención al género literario evita que agreguemos al significado del pasaje más de lo debido o que sustraigamos del pasaje más de lo que debemos.</w:t>
      </w:r>
    </w:p>
    <w:p w14:paraId="6317D63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248259B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i/>
          <w:iCs/>
          <w:color w:val="000000"/>
          <w:kern w:val="0"/>
          <w:sz w:val="24"/>
          <w:szCs w:val="24"/>
          <w:bdr w:val="single" w:sz="2" w:space="0" w:color="E2E8F0" w:frame="1"/>
          <w14:ligatures w14:val="none"/>
        </w:rPr>
        <w:t xml:space="preserve">El análisis </w:t>
      </w:r>
      <w:r w:rsidRPr="003140BF">
        <w:rPr>
          <w:rFonts w:ascii="Times New Roman" w:eastAsia="Times New Roman" w:hAnsi="Times New Roman" w:cs="Times New Roman"/>
          <w:b/>
          <w:bCs/>
          <w:i/>
          <w:iCs/>
          <w:color w:val="292E35"/>
          <w:kern w:val="0"/>
          <w:sz w:val="24"/>
          <w:szCs w:val="24"/>
          <w:bdr w:val="single" w:sz="2" w:space="0" w:color="E2E8F0" w:frame="1"/>
          <w14:ligatures w14:val="none"/>
        </w:rPr>
        <w:t>estructural</w:t>
      </w:r>
    </w:p>
    <w:p w14:paraId="37B7C75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Las diferentes estructuras o patrones dan diferentes efectos. Esto lo vemos en el diseño de interiores, así como en la Biblia. Suponga que tiene una lámpara, una cómoda y un espejo. Podría acomodar el espejo en posición horizontal sobre un lado de la cómoda con la lámpara del otro lado. O para dar un efecto diferente podría colocar el espejo en la pared en posición vertical. O puede que no desee incluir un espejo en absoluto. La manera en que organiza estos tres objetos depende del propósito y el efecto deseado.</w:t>
      </w:r>
    </w:p>
    <w:p w14:paraId="2067785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3C7FDD9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Esta es la “estructura”, o la relación entre las partes. El “análisis estructural” de la Biblia es el esfuerzo de analizar las relaciones que existen en la red de elementos estructurales de porciones autónomas (tanto grandes como pequeñas) de la Escritura.</w:t>
      </w:r>
    </w:p>
    <w:p w14:paraId="1064069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85D1BC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Los patrones estructurales grandes</w:t>
      </w:r>
    </w:p>
    <w:p w14:paraId="56FE999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Lo siguientes ejemplos son de arreglos estructurales de los libros de la Biblia. Estos ejemplos muestran la variedad de arreglos estructurales en la Biblia.</w:t>
      </w:r>
    </w:p>
    <w:p w14:paraId="00575E4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32C949A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El Libro de Hechos se puede dividir en tres partes, basadas en las tres áreas geográficas que Jesús mencionó en Hechos 1:8: “Me seréis testigos en Jerusalén, en toda Judea y Samaria, y hasta los confines de la tierra”.</w:t>
      </w:r>
    </w:p>
    <w:p w14:paraId="6F1C30F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78E4D2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El libro de Apocalipsis se puede dividir en tres partes basándose en las palabras de Jesús en Apocalipsis 1:19 de escribir: “las cosas que has visto, y las que son, y las que han de suceder después de éstas”.</w:t>
      </w:r>
    </w:p>
    <w:p w14:paraId="1933265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Apocalipsis 1 – Las cosas que has visto (Pasado)</w:t>
      </w:r>
    </w:p>
    <w:p w14:paraId="5A52A887"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Apocalipsis 2-3 – Las que son (Presente)</w:t>
      </w:r>
    </w:p>
    <w:p w14:paraId="3018237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Apocalipsis 4-22 – Las que han de suceder después (Futuro)</w:t>
      </w:r>
    </w:p>
    <w:p w14:paraId="2915D06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44E87AB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 estructura del Libro de Rut muestra algunos paralelismos interesantes en un patrón llamado inversión, que se ilustra de la siguiente manera:</w:t>
      </w:r>
    </w:p>
    <w:p w14:paraId="25B7EDD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 Los antecedentes familiares y los lazos de parentesco y las mujeres de Belén (capítulo 1)</w:t>
      </w:r>
    </w:p>
    <w:p w14:paraId="1C2CD9AE"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B.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Booz</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y Rut (capítulos 2-3)</w:t>
      </w:r>
    </w:p>
    <w:p w14:paraId="7FA7A9F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A’. Los antecedentes familiares y los lazos de parentesco y las mujeres de Belén (capítulo 4)</w:t>
      </w:r>
    </w:p>
    <w:p w14:paraId="5E3187E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2D37BB4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La estructura del libro de Job es única. Puede resumirse de la siguiente manera:</w:t>
      </w:r>
    </w:p>
    <w:p w14:paraId="4E177CA3" w14:textId="77777777" w:rsidR="003140BF" w:rsidRPr="003140BF" w:rsidRDefault="003140BF" w:rsidP="003140BF">
      <w:pPr>
        <w:numPr>
          <w:ilvl w:val="0"/>
          <w:numId w:val="2"/>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proofErr w:type="spellStart"/>
      <w:r w:rsidRPr="003140BF">
        <w:rPr>
          <w:rFonts w:ascii="Times New Roman" w:eastAsia="Times New Roman" w:hAnsi="Times New Roman" w:cs="Times New Roman"/>
          <w:color w:val="292E35"/>
          <w:kern w:val="0"/>
          <w:sz w:val="24"/>
          <w:szCs w:val="24"/>
          <w:lang w:val="en-US"/>
          <w14:ligatures w14:val="none"/>
        </w:rPr>
        <w:lastRenderedPageBreak/>
        <w:t>Prólogo</w:t>
      </w:r>
      <w:proofErr w:type="spellEnd"/>
      <w:r w:rsidRPr="003140BF">
        <w:rPr>
          <w:rFonts w:ascii="Times New Roman" w:eastAsia="Times New Roman" w:hAnsi="Times New Roman" w:cs="Times New Roman"/>
          <w:color w:val="292E35"/>
          <w:kern w:val="0"/>
          <w:sz w:val="24"/>
          <w:szCs w:val="24"/>
          <w:lang w:val="en-US"/>
          <w14:ligatures w14:val="none"/>
        </w:rPr>
        <w:t xml:space="preserve"> (Job 1-2)</w:t>
      </w:r>
    </w:p>
    <w:p w14:paraId="761552C0" w14:textId="77777777" w:rsidR="003140BF" w:rsidRPr="003140BF" w:rsidRDefault="003140BF" w:rsidP="003140BF">
      <w:pPr>
        <w:numPr>
          <w:ilvl w:val="0"/>
          <w:numId w:val="2"/>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proofErr w:type="spellStart"/>
      <w:r w:rsidRPr="003140BF">
        <w:rPr>
          <w:rFonts w:ascii="Times New Roman" w:eastAsia="Times New Roman" w:hAnsi="Times New Roman" w:cs="Times New Roman"/>
          <w:color w:val="292E35"/>
          <w:kern w:val="0"/>
          <w:sz w:val="24"/>
          <w:szCs w:val="24"/>
          <w:lang w:val="en-US"/>
          <w14:ligatures w14:val="none"/>
        </w:rPr>
        <w:t>Diálog</w:t>
      </w:r>
      <w:proofErr w:type="spellEnd"/>
      <w:r w:rsidRPr="003140BF">
        <w:rPr>
          <w:rFonts w:ascii="Times New Roman" w:eastAsia="Times New Roman" w:hAnsi="Times New Roman" w:cs="Times New Roman"/>
          <w:color w:val="292E35"/>
          <w:kern w:val="0"/>
          <w:sz w:val="24"/>
          <w:szCs w:val="24"/>
          <w:lang w:val="en-US"/>
          <w14:ligatures w14:val="none"/>
        </w:rPr>
        <w:t xml:space="preserve"> (Job 3-41)</w:t>
      </w:r>
    </w:p>
    <w:p w14:paraId="2B149247"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Lamentación introductoria de Job (Job 3)</w:t>
      </w:r>
    </w:p>
    <w:p w14:paraId="4F3C7174"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El primer ciclo de discursos (Job 4-14)</w:t>
      </w:r>
    </w:p>
    <w:p w14:paraId="5CD949CD"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Elifaz y Job (Job 4-7)</w:t>
      </w:r>
    </w:p>
    <w:p w14:paraId="16F13570"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Bildad y Job (Job 8-10)</w:t>
      </w:r>
    </w:p>
    <w:p w14:paraId="3E9BB5BF"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Zofar y Job (Job 11-14)</w:t>
      </w:r>
    </w:p>
    <w:p w14:paraId="769832BB"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El segundo ciclo de discursos (Job 15-21)</w:t>
      </w:r>
    </w:p>
    <w:p w14:paraId="47DF21AD"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Elifaz y Job (Job 15-17)</w:t>
      </w:r>
    </w:p>
    <w:p w14:paraId="561BB97F"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Bildad y Job (Job 18-19)</w:t>
      </w:r>
    </w:p>
    <w:p w14:paraId="00A81A34"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Zofar y Job (Job 20-21)</w:t>
      </w:r>
    </w:p>
    <w:p w14:paraId="4C01E0EE"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 xml:space="preserve">El tercer ciclo de </w:t>
      </w:r>
      <w:proofErr w:type="spellStart"/>
      <w:r w:rsidRPr="003140BF">
        <w:rPr>
          <w:rFonts w:ascii="Times New Roman" w:eastAsia="Times New Roman" w:hAnsi="Times New Roman" w:cs="Times New Roman"/>
          <w:color w:val="292E35"/>
          <w:kern w:val="0"/>
          <w:sz w:val="24"/>
          <w:szCs w:val="24"/>
          <w14:ligatures w14:val="none"/>
        </w:rPr>
        <w:t>dicsursos</w:t>
      </w:r>
      <w:proofErr w:type="spellEnd"/>
      <w:r w:rsidRPr="003140BF">
        <w:rPr>
          <w:rFonts w:ascii="Times New Roman" w:eastAsia="Times New Roman" w:hAnsi="Times New Roman" w:cs="Times New Roman"/>
          <w:color w:val="292E35"/>
          <w:kern w:val="0"/>
          <w:sz w:val="24"/>
          <w:szCs w:val="24"/>
          <w14:ligatures w14:val="none"/>
        </w:rPr>
        <w:t xml:space="preserve"> (Job 22-37)</w:t>
      </w:r>
    </w:p>
    <w:p w14:paraId="7F1EF276"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Elifaz y Job (Job 22-24)</w:t>
      </w:r>
    </w:p>
    <w:p w14:paraId="614882AA"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Bildad y Job (Job 25-31)</w:t>
      </w:r>
    </w:p>
    <w:p w14:paraId="35C99FE1"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292E35"/>
          <w:kern w:val="0"/>
          <w:sz w:val="24"/>
          <w:szCs w:val="24"/>
          <w:lang w:val="en-US"/>
          <w14:ligatures w14:val="none"/>
        </w:rPr>
        <w:t>Zofar y Job (Job 32-37)</w:t>
      </w:r>
    </w:p>
    <w:p w14:paraId="130758B4" w14:textId="77777777" w:rsidR="003140BF" w:rsidRPr="003140BF" w:rsidRDefault="003140BF" w:rsidP="003140BF">
      <w:pPr>
        <w:numPr>
          <w:ilvl w:val="0"/>
          <w:numId w:val="2"/>
        </w:numPr>
        <w:pBdr>
          <w:top w:val="single" w:sz="2" w:space="0" w:color="E2E8F0"/>
          <w:left w:val="single" w:sz="2" w:space="31"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La intervención de Jehová como conclusión (Job 38-41)</w:t>
      </w:r>
    </w:p>
    <w:p w14:paraId="1BE29C54" w14:textId="77777777" w:rsidR="003140BF" w:rsidRPr="003140BF" w:rsidRDefault="003140BF" w:rsidP="003140BF">
      <w:pPr>
        <w:numPr>
          <w:ilvl w:val="0"/>
          <w:numId w:val="2"/>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proofErr w:type="spellStart"/>
      <w:r w:rsidRPr="003140BF">
        <w:rPr>
          <w:rFonts w:ascii="Times New Roman" w:eastAsia="Times New Roman" w:hAnsi="Times New Roman" w:cs="Times New Roman"/>
          <w:color w:val="292E35"/>
          <w:kern w:val="0"/>
          <w:sz w:val="24"/>
          <w:szCs w:val="24"/>
          <w:lang w:val="en-US"/>
          <w14:ligatures w14:val="none"/>
        </w:rPr>
        <w:t>Epílogo</w:t>
      </w:r>
      <w:proofErr w:type="spellEnd"/>
      <w:r w:rsidRPr="003140BF">
        <w:rPr>
          <w:rFonts w:ascii="Times New Roman" w:eastAsia="Times New Roman" w:hAnsi="Times New Roman" w:cs="Times New Roman"/>
          <w:color w:val="292E35"/>
          <w:kern w:val="0"/>
          <w:sz w:val="24"/>
          <w:szCs w:val="24"/>
          <w:lang w:val="en-US"/>
          <w14:ligatures w14:val="none"/>
        </w:rPr>
        <w:t xml:space="preserve"> (Job 42)</w:t>
      </w:r>
    </w:p>
    <w:p w14:paraId="5F93F91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lang w:val="en-US"/>
          <w14:ligatures w14:val="none"/>
        </w:rPr>
      </w:pPr>
    </w:p>
    <w:p w14:paraId="4AC6BDA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 su Evangelio, Mateo repite una misma oración cinco veces. Esto nos da una idea de la forma en que puede estar estructurado el libro. La oración es: “Cuando Jesús terminó estas palabras” (7:28) o una ligera variación de esa frase. Mateo 11:1 dice: “cuando terminó Jesús de dar instrucciones a sus doce discípulos”; 13:53 dice: “cuando Jesús terminó estas parábolas”; 19:1 dice: “cuando Jesús terminó estas palabras”; y 26:1 dice: “Cuando Jesús terminó todas estas palabras”.</w:t>
      </w:r>
    </w:p>
    <w:p w14:paraId="45662CD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BD251D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Sobre la base de estas oraciones, el libro puede resumirse de la siguiente manera:</w:t>
      </w:r>
    </w:p>
    <w:p w14:paraId="4E9BD33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4B01F051"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 preparación del Mesías (Mateo 1:1-4:11)</w:t>
      </w:r>
    </w:p>
    <w:p w14:paraId="246D3463"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La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proclamación</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 del Mesías (4:12-7:29)</w:t>
      </w:r>
    </w:p>
    <w:p w14:paraId="0C7F6F18"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La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manifestación</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 del Mesías (8:1-11:1)</w:t>
      </w:r>
    </w:p>
    <w:p w14:paraId="0FD596E1"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La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oposición</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 del Mesías (11:2-13:53)</w:t>
      </w:r>
    </w:p>
    <w:p w14:paraId="100A0132"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lang w:val="en-US"/>
          <w14:ligatures w14:val="none"/>
        </w:rPr>
      </w:pPr>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La </w:t>
      </w:r>
      <w:proofErr w:type="spellStart"/>
      <w:r w:rsidRPr="003140BF">
        <w:rPr>
          <w:rFonts w:ascii="Times New Roman" w:eastAsia="Times New Roman" w:hAnsi="Times New Roman" w:cs="Times New Roman"/>
          <w:color w:val="000000"/>
          <w:kern w:val="0"/>
          <w:sz w:val="24"/>
          <w:szCs w:val="24"/>
          <w:bdr w:val="single" w:sz="2" w:space="0" w:color="E2E8F0" w:frame="1"/>
          <w:lang w:val="en-US"/>
          <w14:ligatures w14:val="none"/>
        </w:rPr>
        <w:t>retirada</w:t>
      </w:r>
      <w:proofErr w:type="spellEnd"/>
      <w:r w:rsidRPr="003140BF">
        <w:rPr>
          <w:rFonts w:ascii="Times New Roman" w:eastAsia="Times New Roman" w:hAnsi="Times New Roman" w:cs="Times New Roman"/>
          <w:color w:val="000000"/>
          <w:kern w:val="0"/>
          <w:sz w:val="24"/>
          <w:szCs w:val="24"/>
          <w:bdr w:val="single" w:sz="2" w:space="0" w:color="E2E8F0" w:frame="1"/>
          <w:lang w:val="en-US"/>
          <w14:ligatures w14:val="none"/>
        </w:rPr>
        <w:t xml:space="preserve"> del Mesías (13:54-19:2)</w:t>
      </w:r>
    </w:p>
    <w:p w14:paraId="6ADC8B44"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 presentación y el rechazo del Mesías (19:3-26:2)</w:t>
      </w:r>
    </w:p>
    <w:p w14:paraId="29D7A112" w14:textId="77777777" w:rsidR="003140BF" w:rsidRPr="003140BF" w:rsidRDefault="003140BF" w:rsidP="003140BF">
      <w:pPr>
        <w:numPr>
          <w:ilvl w:val="0"/>
          <w:numId w:val="3"/>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La crucifixión y la resurrección del Mesías (26:3-28:20)</w:t>
      </w:r>
    </w:p>
    <w:p w14:paraId="504B02A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i/>
          <w:iCs/>
          <w:color w:val="000000"/>
          <w:kern w:val="0"/>
          <w:sz w:val="24"/>
          <w:szCs w:val="24"/>
          <w:bdr w:val="single" w:sz="2" w:space="0" w:color="E2E8F0" w:frame="1"/>
          <w14:ligatures w14:val="none"/>
        </w:rPr>
        <w:t> </w:t>
      </w:r>
    </w:p>
    <w:p w14:paraId="68B0EB8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i/>
          <w:iCs/>
          <w:color w:val="000000"/>
          <w:kern w:val="0"/>
          <w:sz w:val="24"/>
          <w:szCs w:val="24"/>
          <w:bdr w:val="single" w:sz="2" w:space="0" w:color="E2E8F0" w:frame="1"/>
          <w14:ligatures w14:val="none"/>
        </w:rPr>
        <w:t>Patrones estructurales más pequeños</w:t>
      </w:r>
    </w:p>
    <w:p w14:paraId="66494CD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Una gran variedad de patrones estructurales de los versículos y pasajes en los libros de la Biblia añaden lustre y un efecto colorido a la calidad literaria de la Biblia.</w:t>
      </w:r>
    </w:p>
    <w:p w14:paraId="2517003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 </w:t>
      </w:r>
    </w:p>
    <w:p w14:paraId="7E7146AD"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1. Patrones </w:t>
      </w:r>
      <w:r w:rsidRPr="003140BF">
        <w:rPr>
          <w:rFonts w:ascii="Times New Roman" w:eastAsia="Times New Roman" w:hAnsi="Times New Roman" w:cs="Times New Roman"/>
          <w:b/>
          <w:bCs/>
          <w:i/>
          <w:iCs/>
          <w:color w:val="000000"/>
          <w:kern w:val="0"/>
          <w:sz w:val="24"/>
          <w:szCs w:val="24"/>
          <w:bdr w:val="single" w:sz="2" w:space="0" w:color="E2E8F0" w:frame="1"/>
          <w14:ligatures w14:val="none"/>
        </w:rPr>
        <w:t>paralelos</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Como ya hemos dicho, la poesía bíblica se </w:t>
      </w:r>
      <w:r w:rsidRPr="003140BF">
        <w:rPr>
          <w:rFonts w:ascii="Times New Roman" w:eastAsia="Times New Roman" w:hAnsi="Times New Roman" w:cs="Times New Roman"/>
          <w:color w:val="292E35"/>
          <w:kern w:val="0"/>
          <w:sz w:val="24"/>
          <w:szCs w:val="24"/>
          <w14:ligatures w14:val="none"/>
        </w:rPr>
        <w:t xml:space="preserve">expresa en patrones de pensamiento. Varios tipos de patrones son utilizados. Uno es la </w:t>
      </w:r>
      <w:r w:rsidRPr="003140BF">
        <w:rPr>
          <w:rFonts w:ascii="Times New Roman" w:eastAsia="Times New Roman" w:hAnsi="Times New Roman" w:cs="Times New Roman"/>
          <w:b/>
          <w:bCs/>
          <w:i/>
          <w:iCs/>
          <w:color w:val="000000"/>
          <w:kern w:val="0"/>
          <w:sz w:val="24"/>
          <w:szCs w:val="24"/>
          <w:bdr w:val="single" w:sz="2" w:space="0" w:color="E2E8F0" w:frame="1"/>
          <w14:ligatures w14:val="none"/>
        </w:rPr>
        <w:t>comparación</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esta forma de paralelismo, la segunda </w:t>
      </w:r>
      <w:r w:rsidRPr="003140BF">
        <w:rPr>
          <w:rFonts w:ascii="Times New Roman" w:eastAsia="Times New Roman" w:hAnsi="Times New Roman" w:cs="Times New Roman"/>
          <w:color w:val="292E35"/>
          <w:kern w:val="0"/>
          <w:sz w:val="24"/>
          <w:szCs w:val="24"/>
          <w14:ligatures w14:val="none"/>
        </w:rPr>
        <w:t>línea repite el pensamiento de la primera línea usando sinónimos. Un ejemplo es el Salmo 1:5: “Por tanto, no se sostendrán los impíos en el juicio, ni los pecadores en la congregación de los justos”. La primera línea incluye la palabra “impíos” mientras que la segunda línea tiene “pecadores”. Las palabras “el juicio” en la primera línea están en paralelo con las palabras “la congregación de los justos” en la segunda línea.</w:t>
      </w:r>
    </w:p>
    <w:p w14:paraId="5AB15A3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0DF34D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En el paralelismo de </w:t>
      </w:r>
      <w:r w:rsidRPr="003140BF">
        <w:rPr>
          <w:rFonts w:ascii="Times New Roman" w:eastAsia="Times New Roman" w:hAnsi="Times New Roman" w:cs="Times New Roman"/>
          <w:b/>
          <w:bCs/>
          <w:i/>
          <w:iCs/>
          <w:color w:val="000000"/>
          <w:kern w:val="0"/>
          <w:sz w:val="24"/>
          <w:szCs w:val="24"/>
          <w:bdr w:val="single" w:sz="2" w:space="0" w:color="E2E8F0" w:frame="1"/>
          <w14:ligatures w14:val="none"/>
        </w:rPr>
        <w:t>contraste</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la segunda línea contrasta con la primera. </w:t>
      </w:r>
      <w:r w:rsidRPr="003140BF">
        <w:rPr>
          <w:rFonts w:ascii="Times New Roman" w:eastAsia="Times New Roman" w:hAnsi="Times New Roman" w:cs="Times New Roman"/>
          <w:color w:val="292E35"/>
          <w:kern w:val="0"/>
          <w:sz w:val="24"/>
          <w:szCs w:val="24"/>
          <w14:ligatures w14:val="none"/>
        </w:rPr>
        <w:t>La segunda línea usualmente es introducida por la palabra “pero o más”. El versículo 6 es un ejemplo: “Porque el SEÑOR conoce el camino de los justos, más el camino de los impíos perecerá”.</w:t>
      </w:r>
    </w:p>
    <w:p w14:paraId="6DFA164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E35B8A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Un tercer tipo de paralelismo poético se puede llamar </w:t>
      </w:r>
      <w:r w:rsidRPr="003140BF">
        <w:rPr>
          <w:rFonts w:ascii="Times New Roman" w:eastAsia="Times New Roman" w:hAnsi="Times New Roman" w:cs="Times New Roman"/>
          <w:b/>
          <w:bCs/>
          <w:i/>
          <w:iCs/>
          <w:color w:val="000000"/>
          <w:kern w:val="0"/>
          <w:sz w:val="24"/>
          <w:szCs w:val="24"/>
          <w:bdr w:val="single" w:sz="2" w:space="0" w:color="E2E8F0" w:frame="1"/>
          <w14:ligatures w14:val="none"/>
        </w:rPr>
        <w:t>finalización</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este patrón la segunda línea completa la </w:t>
      </w:r>
      <w:r w:rsidRPr="003140BF">
        <w:rPr>
          <w:rFonts w:ascii="Times New Roman" w:eastAsia="Times New Roman" w:hAnsi="Times New Roman" w:cs="Times New Roman"/>
          <w:color w:val="292E35"/>
          <w:kern w:val="0"/>
          <w:sz w:val="24"/>
          <w:szCs w:val="24"/>
          <w14:ligatures w14:val="none"/>
        </w:rPr>
        <w:t xml:space="preserve">idea de la primera línea o viceversa. En el versículo 3, la frase: “que da su fruto a su tiempo” no es un pensamiento completo en sí mismo, pero sí completa el pensamiento comenzado en la primera línea de ese versículo: “Será como árbol firmemente plantado junto a corrientes de </w:t>
      </w:r>
      <w:r w:rsidRPr="003140BF">
        <w:rPr>
          <w:rFonts w:ascii="Times New Roman" w:eastAsia="Times New Roman" w:hAnsi="Times New Roman" w:cs="Times New Roman"/>
          <w:color w:val="000000"/>
          <w:kern w:val="0"/>
          <w:sz w:val="24"/>
          <w:szCs w:val="24"/>
          <w:bdr w:val="single" w:sz="2" w:space="0" w:color="E2E8F0" w:frame="1"/>
          <w14:ligatures w14:val="none"/>
        </w:rPr>
        <w:t>agua”.</w:t>
      </w:r>
    </w:p>
    <w:p w14:paraId="5DF89E5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5DECBF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En el versículo 4 se utiliza un cuarto tipo de paralelismo. A este se le puede llamar paralelismo </w:t>
      </w:r>
      <w:r w:rsidRPr="003140BF">
        <w:rPr>
          <w:rFonts w:ascii="Times New Roman" w:eastAsia="Times New Roman" w:hAnsi="Times New Roman" w:cs="Times New Roman"/>
          <w:b/>
          <w:bCs/>
          <w:i/>
          <w:iCs/>
          <w:color w:val="000000"/>
          <w:kern w:val="0"/>
          <w:sz w:val="24"/>
          <w:szCs w:val="24"/>
          <w:bdr w:val="single" w:sz="2" w:space="0" w:color="E2E8F0" w:frame="1"/>
          <w14:ligatures w14:val="none"/>
        </w:rPr>
        <w:t>figurativo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donde la segunda línea ilumina a la </w:t>
      </w:r>
      <w:r w:rsidRPr="003140BF">
        <w:rPr>
          <w:rFonts w:ascii="Times New Roman" w:eastAsia="Times New Roman" w:hAnsi="Times New Roman" w:cs="Times New Roman"/>
          <w:color w:val="292E35"/>
          <w:kern w:val="0"/>
          <w:sz w:val="24"/>
          <w:szCs w:val="24"/>
          <w14:ligatures w14:val="none"/>
        </w:rPr>
        <w:t>primera por medio de una forma retórica o viceversa. Decir que los impíos son “como paja” indica que carecen de seguridad y valor.</w:t>
      </w:r>
    </w:p>
    <w:p w14:paraId="6F42A4B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AB58A8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Otro patrón de paralelismo menos frecuente es el paralelismo </w:t>
      </w:r>
      <w:r w:rsidRPr="003140BF">
        <w:rPr>
          <w:rFonts w:ascii="Times New Roman" w:eastAsia="Times New Roman" w:hAnsi="Times New Roman" w:cs="Times New Roman"/>
          <w:b/>
          <w:bCs/>
          <w:i/>
          <w:iCs/>
          <w:color w:val="000000"/>
          <w:kern w:val="0"/>
          <w:sz w:val="24"/>
          <w:szCs w:val="24"/>
          <w:bdr w:val="single" w:sz="2" w:space="0" w:color="E2E8F0" w:frame="1"/>
          <w14:ligatures w14:val="none"/>
        </w:rPr>
        <w:t>escalonado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esta forma, la segunda línea repite </w:t>
      </w:r>
      <w:r w:rsidRPr="003140BF">
        <w:rPr>
          <w:rFonts w:ascii="Times New Roman" w:eastAsia="Times New Roman" w:hAnsi="Times New Roman" w:cs="Times New Roman"/>
          <w:color w:val="292E35"/>
          <w:kern w:val="0"/>
          <w:sz w:val="24"/>
          <w:szCs w:val="24"/>
          <w14:ligatures w14:val="none"/>
        </w:rPr>
        <w:t>parte de la primera y después añade algo para completar la oración. El Salmo 29:1 es un ejemplo: “Tributad al SEÑOR, oh hijos de los poderosos, tributad al SEÑOR gloria y poder”.</w:t>
      </w:r>
    </w:p>
    <w:p w14:paraId="518FF75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1B10BB7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2</w:t>
      </w:r>
      <w:r w:rsidRPr="003140BF">
        <w:rPr>
          <w:rFonts w:ascii="Times New Roman" w:eastAsia="Times New Roman" w:hAnsi="Times New Roman" w:cs="Times New Roman"/>
          <w:i/>
          <w:iCs/>
          <w:color w:val="000000"/>
          <w:kern w:val="0"/>
          <w:sz w:val="24"/>
          <w:szCs w:val="24"/>
          <w:bdr w:val="single" w:sz="2" w:space="0" w:color="E2E8F0" w:frame="1"/>
          <w14:ligatures w14:val="none"/>
        </w:rPr>
        <w:t>. Patrón de anillo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un patrón de anillo una porción central </w:t>
      </w:r>
      <w:r w:rsidRPr="003140BF">
        <w:rPr>
          <w:rFonts w:ascii="Times New Roman" w:eastAsia="Times New Roman" w:hAnsi="Times New Roman" w:cs="Times New Roman"/>
          <w:color w:val="292E35"/>
          <w:kern w:val="0"/>
          <w:sz w:val="24"/>
          <w:szCs w:val="24"/>
          <w14:ligatures w14:val="none"/>
        </w:rPr>
        <w:t>es precedida y seguida por material paralelo. Génesis 37 registra la historia de José cuando fue vendido a Egipto. El capítulo 38 habla de Judá y Tamar y el capítulo 39 continúa con la historia de José. En cierto sentido, entonces, los capítulos 37 y 39 forman un anillo alrededor del capítulo 38, con el propósito de mostrar por medio del contraste, lo terrible del pecado de Judá comparado con la pureza de José.</w:t>
      </w:r>
    </w:p>
    <w:p w14:paraId="6BF3BB0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005B321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3</w:t>
      </w:r>
      <w:r w:rsidRPr="003140BF">
        <w:rPr>
          <w:rFonts w:ascii="Times New Roman" w:eastAsia="Times New Roman" w:hAnsi="Times New Roman" w:cs="Times New Roman"/>
          <w:i/>
          <w:iCs/>
          <w:color w:val="000000"/>
          <w:kern w:val="0"/>
          <w:sz w:val="24"/>
          <w:szCs w:val="24"/>
          <w:bdr w:val="single" w:sz="2" w:space="0" w:color="E2E8F0" w:frame="1"/>
          <w14:ligatures w14:val="none"/>
        </w:rPr>
        <w:t>. Patrón del quiasmo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 patrón de quiasmo es una forma vista </w:t>
      </w:r>
      <w:r w:rsidRPr="003140BF">
        <w:rPr>
          <w:rFonts w:ascii="Times New Roman" w:eastAsia="Times New Roman" w:hAnsi="Times New Roman" w:cs="Times New Roman"/>
          <w:color w:val="292E35"/>
          <w:kern w:val="0"/>
          <w:sz w:val="24"/>
          <w:szCs w:val="24"/>
          <w14:ligatures w14:val="none"/>
        </w:rPr>
        <w:t>frecuentemente en las Escrituras. En un quiasmo, los elementos uno y cuatro en uno o más versículos tienen pensamientos paralelos, y los elementos dos y tres también tienen pensamientos paralelos. El Salmo 137:5-6 dice: “Si me olvido de ti, oh Jerusalén, pierda mi diestra su destreza. Péguese mi lengua al paladar</w:t>
      </w:r>
    </w:p>
    <w:p w14:paraId="459CA24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si no me acuerdo de ti”. Note que las líneas uno y cuatro empiezan con “si”, y las líneas dos y tres empiezan con las palabras “pierda mi diestra” y “péguese mi lengua”.</w:t>
      </w:r>
    </w:p>
    <w:p w14:paraId="250B1B9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362D8FB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Otro ejemplo de la estructura del quiasmo es Mateo 7:6: “No deis lo santo a los perros, ni echéis vuestras perlas delante de los cerdos, no sea que las huellen con sus patas, y volviéndose os despedacen”. La referencia a los perros en la primera línea corresponde con la referencia a “os despedacen” en la cuarta línea. Echar perlas a los cerdos en la segunda línea está en paralelo con la referencia a hollar con sus patas, en la línea tres.</w:t>
      </w:r>
    </w:p>
    <w:p w14:paraId="0CEF845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BB42F01"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4</w:t>
      </w:r>
      <w:r w:rsidRPr="003140BF">
        <w:rPr>
          <w:rFonts w:ascii="Times New Roman" w:eastAsia="Times New Roman" w:hAnsi="Times New Roman" w:cs="Times New Roman"/>
          <w:i/>
          <w:iCs/>
          <w:color w:val="000000"/>
          <w:kern w:val="0"/>
          <w:sz w:val="24"/>
          <w:szCs w:val="24"/>
          <w:bdr w:val="single" w:sz="2" w:space="0" w:color="E2E8F0" w:frame="1"/>
          <w14:ligatures w14:val="none"/>
        </w:rPr>
        <w:t>. Patrón alternado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un patrón alternado, los puntos uno y </w:t>
      </w:r>
      <w:r w:rsidRPr="003140BF">
        <w:rPr>
          <w:rFonts w:ascii="Times New Roman" w:eastAsia="Times New Roman" w:hAnsi="Times New Roman" w:cs="Times New Roman"/>
          <w:color w:val="292E35"/>
          <w:kern w:val="0"/>
          <w:sz w:val="24"/>
          <w:szCs w:val="24"/>
          <w14:ligatures w14:val="none"/>
        </w:rPr>
        <w:t>tres en un versículo o pasaje son paralelos, y los puntos dos y cuatro son paralelos.</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En el Salmo 31:20, la primera línea empieza con las palabras: “De las conspiraciones de los hombres” y la línea tres empieza con las palabras “en un refugio”. Después las partes dos y cuatro son similares: “tú los escondes” y “los pondrás a cubierto”. En las cuatro calamidades que experimentó Job (Job 1:13-19), los dos primeros ataques de Satanás alternan entre medios humanos y naturales. Las </w:t>
      </w:r>
      <w:proofErr w:type="gramStart"/>
      <w:r w:rsidRPr="003140BF">
        <w:rPr>
          <w:rFonts w:ascii="Times New Roman" w:eastAsia="Times New Roman" w:hAnsi="Times New Roman" w:cs="Times New Roman"/>
          <w:color w:val="000000"/>
          <w:kern w:val="0"/>
          <w:sz w:val="24"/>
          <w:szCs w:val="24"/>
          <w:bdr w:val="single" w:sz="2" w:space="0" w:color="E2E8F0" w:frame="1"/>
          <w14:ligatures w14:val="none"/>
        </w:rPr>
        <w:t>catástrofes primera</w:t>
      </w:r>
      <w:proofErr w:type="gramEnd"/>
      <w:r w:rsidRPr="003140BF">
        <w:rPr>
          <w:rFonts w:ascii="Times New Roman" w:eastAsia="Times New Roman" w:hAnsi="Times New Roman" w:cs="Times New Roman"/>
          <w:color w:val="000000"/>
          <w:kern w:val="0"/>
          <w:sz w:val="24"/>
          <w:szCs w:val="24"/>
          <w:bdr w:val="single" w:sz="2" w:space="0" w:color="E2E8F0" w:frame="1"/>
          <w14:ligatures w14:val="none"/>
        </w:rPr>
        <w:t xml:space="preserve"> y la tercera fueron causadas por seres humanos (los Sabeos, vv. 13-15, y los Caldeos, v. 17), y las calamidades dos y cuatro por medios naturales (“el fuego de Dios”, probablemente relámpagos, v. 16, y una tormenta de viento, vv. 18-19).</w:t>
      </w:r>
    </w:p>
    <w:p w14:paraId="2A7C24D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779D052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5</w:t>
      </w:r>
      <w:r w:rsidRPr="003140BF">
        <w:rPr>
          <w:rFonts w:ascii="Times New Roman" w:eastAsia="Times New Roman" w:hAnsi="Times New Roman" w:cs="Times New Roman"/>
          <w:i/>
          <w:iCs/>
          <w:color w:val="000000"/>
          <w:kern w:val="0"/>
          <w:sz w:val="24"/>
          <w:szCs w:val="24"/>
          <w:bdr w:val="single" w:sz="2" w:space="0" w:color="E2E8F0" w:frame="1"/>
          <w14:ligatures w14:val="none"/>
        </w:rPr>
        <w:t>. Patrón invertido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Una inversión es similar a un quiasmo </w:t>
      </w:r>
      <w:r w:rsidRPr="003140BF">
        <w:rPr>
          <w:rFonts w:ascii="Times New Roman" w:eastAsia="Times New Roman" w:hAnsi="Times New Roman" w:cs="Times New Roman"/>
          <w:color w:val="292E35"/>
          <w:kern w:val="0"/>
          <w:sz w:val="24"/>
          <w:szCs w:val="24"/>
          <w14:ligatures w14:val="none"/>
        </w:rPr>
        <w:t>excepto que incluye más de cuatro elementos y, por lo tanto, tiene puntos adicionales de contraste o comparación. Los elementos uno y seis son paralelos, los elementos dos y cinco son paralelos y los elementos tres y cuatro son paralelos. Isaías 6:10 contiene este patrón. Las líneas uno y seis se refieren al corazón, las líneas dos y cinco se refieren a los oídos, y las líneas tres y cuatro se refieren a los ojos.</w:t>
      </w:r>
    </w:p>
    <w:p w14:paraId="5DDC390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483DB4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 la narración del Diluvio, éste comenzó siete días después de que Dios mandara a Noé que entrara al arca (Gen 7:10). Las lluvias cayeron sobre la tierra por 40 días (vv. 12, 17). Las aguas inundaron la tierra por 150 días (v. 24, 8:3). Noé abrió la ventana del arca 40 días después de que las cimas de las montañas se hicieron visibles (v. 6). Noé esperó siete días (dos veces) hasta que mandó la paloma de nuevo (vv. 10, 12). Esto nos da el siguiente esquema de periodos de tiempo como una inversión:</w:t>
      </w:r>
    </w:p>
    <w:p w14:paraId="317F9BDE"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078B572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7 días</w:t>
      </w:r>
    </w:p>
    <w:p w14:paraId="079B8CA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40 días</w:t>
      </w:r>
    </w:p>
    <w:p w14:paraId="756E8999"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150 días</w:t>
      </w:r>
    </w:p>
    <w:p w14:paraId="2CA1AA9E"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40 días</w:t>
      </w:r>
    </w:p>
    <w:p w14:paraId="511B48F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292E35"/>
          <w:kern w:val="0"/>
          <w:sz w:val="24"/>
          <w:szCs w:val="24"/>
          <w14:ligatures w14:val="none"/>
        </w:rPr>
        <w:t>7 días</w:t>
      </w:r>
    </w:p>
    <w:p w14:paraId="1EC9FB5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45BC6F3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 las inversiones, generalmente se enfatiza la porción central. Note el patrón de inversión en</w:t>
      </w:r>
    </w:p>
    <w:p w14:paraId="690310FA"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Mateo 13:15.</w:t>
      </w:r>
    </w:p>
    <w:p w14:paraId="35AF4706"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204482D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6</w:t>
      </w:r>
      <w:r w:rsidRPr="003140BF">
        <w:rPr>
          <w:rFonts w:ascii="Times New Roman" w:eastAsia="Times New Roman" w:hAnsi="Times New Roman" w:cs="Times New Roman"/>
          <w:i/>
          <w:iCs/>
          <w:color w:val="000000"/>
          <w:kern w:val="0"/>
          <w:sz w:val="24"/>
          <w:szCs w:val="24"/>
          <w:bdr w:val="single" w:sz="2" w:space="0" w:color="E2E8F0" w:frame="1"/>
          <w14:ligatures w14:val="none"/>
        </w:rPr>
        <w:t xml:space="preserve">. Patrón de </w:t>
      </w:r>
      <w:proofErr w:type="spellStart"/>
      <w:r w:rsidRPr="003140BF">
        <w:rPr>
          <w:rFonts w:ascii="Times New Roman" w:eastAsia="Times New Roman" w:hAnsi="Times New Roman" w:cs="Times New Roman"/>
          <w:i/>
          <w:iCs/>
          <w:color w:val="000000"/>
          <w:kern w:val="0"/>
          <w:sz w:val="24"/>
          <w:szCs w:val="24"/>
          <w:bdr w:val="single" w:sz="2" w:space="0" w:color="E2E8F0" w:frame="1"/>
          <w14:ligatures w14:val="none"/>
        </w:rPr>
        <w:t>inclusio</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Un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inclusio</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es un patrón en el cual un </w:t>
      </w:r>
      <w:r w:rsidRPr="003140BF">
        <w:rPr>
          <w:rFonts w:ascii="Times New Roman" w:eastAsia="Times New Roman" w:hAnsi="Times New Roman" w:cs="Times New Roman"/>
          <w:color w:val="292E35"/>
          <w:kern w:val="0"/>
          <w:sz w:val="24"/>
          <w:szCs w:val="24"/>
          <w14:ligatures w14:val="none"/>
        </w:rPr>
        <w:t xml:space="preserve">párrafo o una porción más larga terminan en la misma forma en la que comenzó. En la narración del diluvio la maldad del hombre </w:t>
      </w:r>
      <w:r w:rsidRPr="003140BF">
        <w:rPr>
          <w:rFonts w:ascii="Times New Roman" w:eastAsia="Times New Roman" w:hAnsi="Times New Roman" w:cs="Times New Roman"/>
          <w:color w:val="292E35"/>
          <w:kern w:val="0"/>
          <w:sz w:val="24"/>
          <w:szCs w:val="24"/>
          <w14:ligatures w14:val="none"/>
        </w:rPr>
        <w:lastRenderedPageBreak/>
        <w:t>es mencionada en Génesis 6:1-8, y al final de la narración, la maldad del hombre es vista de nuevo (9:20-27).</w:t>
      </w:r>
    </w:p>
    <w:p w14:paraId="7F5CBE9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4084EB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En Isaías 1:21, Isaías habló de Jerusalén como “la ciudad fiel”, y en el versículo 26 el párrafo concluye con otra referencia a la “ciudad fiel”. Proverbios 31:10-30 comienza refiriéndose a la “mujer hacendosa o noble” (v. 10) y casi al final otra vez usa la palabra “nobleza” (v. 29). En Proverbios 1 la “sabiduría y la instrucción” se mencionan en el versículo 2, y otra vez en versículo 7, unificando así todo lo que se dice sobre el propósito de los Proverbios.</w:t>
      </w:r>
    </w:p>
    <w:p w14:paraId="6DC0B49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14DD1D9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7</w:t>
      </w:r>
      <w:r w:rsidRPr="003140BF">
        <w:rPr>
          <w:rFonts w:ascii="Times New Roman" w:eastAsia="Times New Roman" w:hAnsi="Times New Roman" w:cs="Times New Roman"/>
          <w:i/>
          <w:iCs/>
          <w:color w:val="000000"/>
          <w:kern w:val="0"/>
          <w:sz w:val="24"/>
          <w:szCs w:val="24"/>
          <w:bdr w:val="single" w:sz="2" w:space="0" w:color="E2E8F0" w:frame="1"/>
          <w14:ligatures w14:val="none"/>
        </w:rPr>
        <w:t>. Patrón de trilogía</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este patrón tres cosas relacionadas son </w:t>
      </w:r>
      <w:r w:rsidRPr="003140BF">
        <w:rPr>
          <w:rFonts w:ascii="Times New Roman" w:eastAsia="Times New Roman" w:hAnsi="Times New Roman" w:cs="Times New Roman"/>
          <w:color w:val="292E35"/>
          <w:kern w:val="0"/>
          <w:sz w:val="24"/>
          <w:szCs w:val="24"/>
          <w14:ligatures w14:val="none"/>
        </w:rPr>
        <w:t>mencionadas, como en Judas 11: “el camino de Caín”, “el error de Balaam” y “la rebelión de Coré”. Tres cosas también se dicen acerca de los falsos maestros en contra de quien escribió Judas en Judas 8: ellos “mancillan la carne”, “rechazan la autoridad” y “blasfeman de las majestades angélicas”.</w:t>
      </w:r>
    </w:p>
    <w:p w14:paraId="01C3D7F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51419AA3"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8</w:t>
      </w:r>
      <w:r w:rsidRPr="003140BF">
        <w:rPr>
          <w:rFonts w:ascii="Times New Roman" w:eastAsia="Times New Roman" w:hAnsi="Times New Roman" w:cs="Times New Roman"/>
          <w:i/>
          <w:iCs/>
          <w:color w:val="000000"/>
          <w:kern w:val="0"/>
          <w:sz w:val="24"/>
          <w:szCs w:val="24"/>
          <w:bdr w:val="single" w:sz="2" w:space="0" w:color="E2E8F0" w:frame="1"/>
          <w14:ligatures w14:val="none"/>
        </w:rPr>
        <w:t>. Patrón acróstico</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En un acróstico cada versículo comienza en </w:t>
      </w:r>
      <w:r w:rsidRPr="003140BF">
        <w:rPr>
          <w:rFonts w:ascii="Times New Roman" w:eastAsia="Times New Roman" w:hAnsi="Times New Roman" w:cs="Times New Roman"/>
          <w:color w:val="292E35"/>
          <w:kern w:val="0"/>
          <w:sz w:val="24"/>
          <w:szCs w:val="24"/>
          <w14:ligatures w14:val="none"/>
        </w:rPr>
        <w:t>sucesión con una letra diferente del alfabeto. Proverbios 31:10-31 es un acróstico muy conocido, como es el Salmo 119. Sin embargo, en este salmo cada grupo de ocho versículos comienza con una letra diferente del alfabeto hebreo, el cual contiene 22 letras. Cada uno de los versículos 1-8 comienza con la primera letra, cada uno de los versículos 9-16 comienza con la segunda letra, cada uno de los versículos 17-24 comienza con la tercera letra, etc. En Lamentaciones 1, cada uno de los 22 versículos comienza con una letra diferente del alfabeto hebreo. Lo mismo es cierto de Lamentaciones 2 y 4. Sin embargo, el capítulo 3 es un poco diferente, ya que cada uno de tres versículos en secuencia comienzan con la primera letra del alfabeto, seguidos por los siguientes tres versículos los cuales comienzan con la segunda letra del alfabeto, etc. El capítulo 5 tiene 22 versículos, pero no están en forma acróstica. Otros salmos también son acrósticos, incluyendo los Salmos 9-10, 25, 34, 37, y 111. Los acrósticos probablemente sirvieron como formas de memorizar fácilmente. Además, los acrósticos en el Libro de Lamentaciones también pueden haber servido como una especie de control literario sobre la emoción de profundo dolor de Jeremías.</w:t>
      </w:r>
    </w:p>
    <w:p w14:paraId="5CD652FB"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253A4A0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9</w:t>
      </w:r>
      <w:r w:rsidRPr="003140BF">
        <w:rPr>
          <w:rFonts w:ascii="Times New Roman" w:eastAsia="Times New Roman" w:hAnsi="Times New Roman" w:cs="Times New Roman"/>
          <w:i/>
          <w:iCs/>
          <w:color w:val="000000"/>
          <w:kern w:val="0"/>
          <w:sz w:val="24"/>
          <w:szCs w:val="24"/>
          <w:bdr w:val="single" w:sz="2" w:space="0" w:color="E2E8F0" w:frame="1"/>
          <w14:ligatures w14:val="none"/>
        </w:rPr>
        <w:t>. Patrón ascendente o descendente</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Primera de Juan puede ser considerada como </w:t>
      </w:r>
      <w:r w:rsidRPr="003140BF">
        <w:rPr>
          <w:rFonts w:ascii="Times New Roman" w:eastAsia="Times New Roman" w:hAnsi="Times New Roman" w:cs="Times New Roman"/>
          <w:color w:val="292E35"/>
          <w:kern w:val="0"/>
          <w:sz w:val="24"/>
          <w:szCs w:val="24"/>
          <w14:ligatures w14:val="none"/>
        </w:rPr>
        <w:t xml:space="preserve">una epístola con estructura ascendente. Como el bosquejo anterior lo ilustra, cada sección conduce a la siguiente. </w:t>
      </w:r>
    </w:p>
    <w:p w14:paraId="48364555"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650EAB76"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10</w:t>
      </w:r>
      <w:r w:rsidRPr="003140BF">
        <w:rPr>
          <w:rFonts w:ascii="Times New Roman" w:eastAsia="Times New Roman" w:hAnsi="Times New Roman" w:cs="Times New Roman"/>
          <w:i/>
          <w:iCs/>
          <w:color w:val="000000"/>
          <w:kern w:val="0"/>
          <w:sz w:val="24"/>
          <w:szCs w:val="24"/>
          <w:bdr w:val="single" w:sz="2" w:space="0" w:color="E2E8F0" w:frame="1"/>
          <w14:ligatures w14:val="none"/>
        </w:rPr>
        <w:t>. Patrón de repetición</w:t>
      </w:r>
      <w:r w:rsidRPr="003140BF">
        <w:rPr>
          <w:rFonts w:ascii="Times New Roman" w:eastAsia="Times New Roman" w:hAnsi="Times New Roman" w:cs="Times New Roman"/>
          <w:color w:val="000000"/>
          <w:kern w:val="0"/>
          <w:sz w:val="24"/>
          <w:szCs w:val="24"/>
          <w:bdr w:val="single" w:sz="2" w:space="0" w:color="E2E8F0" w:frame="1"/>
          <w14:ligatures w14:val="none"/>
        </w:rPr>
        <w:t xml:space="preserve">. La repetición es usada con frecuencia para </w:t>
      </w:r>
      <w:r w:rsidRPr="003140BF">
        <w:rPr>
          <w:rFonts w:ascii="Times New Roman" w:eastAsia="Times New Roman" w:hAnsi="Times New Roman" w:cs="Times New Roman"/>
          <w:color w:val="292E35"/>
          <w:kern w:val="0"/>
          <w:sz w:val="24"/>
          <w:szCs w:val="24"/>
          <w14:ligatures w14:val="none"/>
        </w:rPr>
        <w:t>un impacto emocional. Isaías señaló la ignorancia de sus lectores al repetir las preguntas: “¿No sabéis? ¿No habéis oído?”, en Isaías 40:21 y 28. Su uso efectivo de la palabra “quién” al principio de un buen número de preguntas en ese capítulo también muestra retóricamente la ignorancia de la gente. (Note la palabra “quién” en los versículos 12 [dos veces], 13-14, y 26).</w:t>
      </w:r>
    </w:p>
    <w:p w14:paraId="7ED4C90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4431C2E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Como Bar-</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efrat</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señala, en tres instancias en 2 Samuel, el crimen sexual es seguido por asesinato.</w:t>
      </w:r>
      <w:r w:rsidRPr="003140BF">
        <w:rPr>
          <w:rFonts w:ascii="Times New Roman" w:eastAsia="Times New Roman" w:hAnsi="Times New Roman" w:cs="Times New Roman"/>
          <w:color w:val="0000EF"/>
          <w:kern w:val="0"/>
          <w:sz w:val="24"/>
          <w:szCs w:val="24"/>
          <w:bdr w:val="single" w:sz="2" w:space="0" w:color="E2E8F0" w:frame="1"/>
          <w14:ligatures w14:val="none"/>
        </w:rPr>
        <w:t xml:space="preserve"> </w:t>
      </w:r>
      <w:r w:rsidRPr="003140BF">
        <w:rPr>
          <w:rFonts w:ascii="Times New Roman" w:eastAsia="Times New Roman" w:hAnsi="Times New Roman" w:cs="Times New Roman"/>
          <w:color w:val="000000"/>
          <w:kern w:val="0"/>
          <w:sz w:val="24"/>
          <w:szCs w:val="24"/>
          <w:bdr w:val="single" w:sz="2" w:space="0" w:color="E2E8F0" w:frame="1"/>
          <w14:ligatures w14:val="none"/>
        </w:rPr>
        <w:t xml:space="preserve">La relación de David con Betsabé precede a la muerte de Urías, propiciada por David (2 Sam 11). </w:t>
      </w:r>
      <w:r w:rsidRPr="003140BF">
        <w:rPr>
          <w:rFonts w:ascii="Times New Roman" w:eastAsia="Times New Roman" w:hAnsi="Times New Roman" w:cs="Times New Roman"/>
          <w:color w:val="000000"/>
          <w:kern w:val="0"/>
          <w:sz w:val="24"/>
          <w:szCs w:val="24"/>
          <w:bdr w:val="single" w:sz="2" w:space="0" w:color="E2E8F0" w:frame="1"/>
          <w14:ligatures w14:val="none"/>
        </w:rPr>
        <w:lastRenderedPageBreak/>
        <w:t xml:space="preserve">La relación que tuvo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Amnón</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con Tamar precede a la muerte de </w:t>
      </w:r>
      <w:proofErr w:type="spellStart"/>
      <w:r w:rsidRPr="003140BF">
        <w:rPr>
          <w:rFonts w:ascii="Times New Roman" w:eastAsia="Times New Roman" w:hAnsi="Times New Roman" w:cs="Times New Roman"/>
          <w:color w:val="000000"/>
          <w:kern w:val="0"/>
          <w:sz w:val="24"/>
          <w:szCs w:val="24"/>
          <w:bdr w:val="single" w:sz="2" w:space="0" w:color="E2E8F0" w:frame="1"/>
          <w14:ligatures w14:val="none"/>
        </w:rPr>
        <w:t>Amnón</w:t>
      </w:r>
      <w:proofErr w:type="spellEnd"/>
      <w:r w:rsidRPr="003140BF">
        <w:rPr>
          <w:rFonts w:ascii="Times New Roman" w:eastAsia="Times New Roman" w:hAnsi="Times New Roman" w:cs="Times New Roman"/>
          <w:color w:val="000000"/>
          <w:kern w:val="0"/>
          <w:sz w:val="24"/>
          <w:szCs w:val="24"/>
          <w:bdr w:val="single" w:sz="2" w:space="0" w:color="E2E8F0" w:frame="1"/>
          <w14:ligatures w14:val="none"/>
        </w:rPr>
        <w:t xml:space="preserve"> (capítulo 13), y la relación que tuvo Absalón con una de las concubinas de David precede a la muerte de Absalón (capítulos 15-19).</w:t>
      </w:r>
    </w:p>
    <w:p w14:paraId="440DEC68"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w:t>
      </w:r>
    </w:p>
    <w:p w14:paraId="6533343C"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 xml:space="preserve">Uno de los temas recurrentes en el Evangelio según Marcos es la creciente oposición a Jesús. Marcos 2 incluye una referencia a una serie de oponentes, cada uno de los cuales preguntó: “¿Por qué?” (vv. 7, 16, 18, 24). La oposición vino porque Jesús perdonaba los pecados (v. 7), comía con los pecadores (v. 16), descuidaba la tradición del </w:t>
      </w:r>
      <w:proofErr w:type="gramStart"/>
      <w:r w:rsidRPr="003140BF">
        <w:rPr>
          <w:rFonts w:ascii="Times New Roman" w:eastAsia="Times New Roman" w:hAnsi="Times New Roman" w:cs="Times New Roman"/>
          <w:color w:val="000000"/>
          <w:kern w:val="0"/>
          <w:sz w:val="24"/>
          <w:szCs w:val="24"/>
          <w:bdr w:val="single" w:sz="2" w:space="0" w:color="E2E8F0" w:frame="1"/>
          <w14:ligatures w14:val="none"/>
        </w:rPr>
        <w:t>ayuno(</w:t>
      </w:r>
      <w:proofErr w:type="gramEnd"/>
      <w:r w:rsidRPr="003140BF">
        <w:rPr>
          <w:rFonts w:ascii="Times New Roman" w:eastAsia="Times New Roman" w:hAnsi="Times New Roman" w:cs="Times New Roman"/>
          <w:color w:val="000000"/>
          <w:kern w:val="0"/>
          <w:sz w:val="24"/>
          <w:szCs w:val="24"/>
          <w:bdr w:val="single" w:sz="2" w:space="0" w:color="E2E8F0" w:frame="1"/>
          <w14:ligatures w14:val="none"/>
        </w:rPr>
        <w:t>v. 18 – “Cómo” en la NVI se puede traducir también como “¿Por qué?”) y “violaba” el día de reposo (v. 24).</w:t>
      </w:r>
    </w:p>
    <w:p w14:paraId="7867D58F"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EF"/>
          <w:kern w:val="0"/>
          <w:sz w:val="24"/>
          <w:szCs w:val="24"/>
          <w:bdr w:val="single" w:sz="2" w:space="0" w:color="E2E8F0" w:frame="1"/>
          <w14:ligatures w14:val="none"/>
        </w:rPr>
        <w:t> </w:t>
      </w:r>
    </w:p>
    <w:p w14:paraId="4278C124"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b/>
          <w:bCs/>
          <w:i/>
          <w:iCs/>
          <w:color w:val="000000"/>
          <w:kern w:val="0"/>
          <w:sz w:val="24"/>
          <w:szCs w:val="24"/>
          <w:bdr w:val="single" w:sz="2" w:space="0" w:color="E2E8F0" w:frame="1"/>
          <w14:ligatures w14:val="none"/>
        </w:rPr>
        <w:t>Resumen</w:t>
      </w:r>
    </w:p>
    <w:p w14:paraId="2D965506"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3140BF">
        <w:rPr>
          <w:rFonts w:ascii="Times New Roman" w:eastAsia="Times New Roman" w:hAnsi="Times New Roman" w:cs="Times New Roman"/>
          <w:color w:val="000000"/>
          <w:kern w:val="0"/>
          <w:sz w:val="24"/>
          <w:szCs w:val="24"/>
          <w:bdr w:val="single" w:sz="2" w:space="0" w:color="E2E8F0" w:frame="1"/>
          <w14:ligatures w14:val="none"/>
        </w:rPr>
        <w:t>Como se dijo al comienzo de este capítulo, la atención a la calidad literaria de la Biblia ayuda a resaltar su belleza artística y ayuda al intérprete de la Biblia dándole un cuadro más preciso de las escrituras y de la manera en que el contenido está siendo comunicado.</w:t>
      </w:r>
    </w:p>
    <w:p w14:paraId="7B48A3F0"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2CC62972" w14:textId="77777777" w:rsidR="003140BF" w:rsidRPr="003140BF" w:rsidRDefault="003140BF" w:rsidP="003140BF">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roofErr w:type="spellStart"/>
      <w:r w:rsidRPr="003140BF">
        <w:rPr>
          <w:rFonts w:ascii="Times New Roman" w:eastAsia="Times New Roman" w:hAnsi="Times New Roman" w:cs="Times New Roman"/>
          <w:color w:val="292E35"/>
          <w:kern w:val="0"/>
          <w:sz w:val="24"/>
          <w:szCs w:val="24"/>
          <w14:ligatures w14:val="none"/>
        </w:rPr>
        <w:t>Zuck</w:t>
      </w:r>
      <w:proofErr w:type="spellEnd"/>
      <w:r w:rsidRPr="003140BF">
        <w:rPr>
          <w:rFonts w:ascii="Times New Roman" w:eastAsia="Times New Roman" w:hAnsi="Times New Roman" w:cs="Times New Roman"/>
          <w:color w:val="292E35"/>
          <w:kern w:val="0"/>
          <w:sz w:val="24"/>
          <w:szCs w:val="24"/>
          <w14:ligatures w14:val="none"/>
        </w:rPr>
        <w:t xml:space="preserve">, Roy B. </w:t>
      </w:r>
      <w:r w:rsidRPr="003140BF">
        <w:rPr>
          <w:rFonts w:ascii="Times New Roman" w:eastAsia="Times New Roman" w:hAnsi="Times New Roman" w:cs="Times New Roman"/>
          <w:i/>
          <w:iCs/>
          <w:color w:val="292E35"/>
          <w:kern w:val="0"/>
          <w:sz w:val="24"/>
          <w:szCs w:val="24"/>
          <w:bdr w:val="single" w:sz="2" w:space="0" w:color="E2E8F0" w:frame="1"/>
          <w14:ligatures w14:val="none"/>
        </w:rPr>
        <w:t>Interpretación Básica de la Biblia: Una Guía Práctica para Descubrir la Verdad Bíblica</w:t>
      </w:r>
      <w:r w:rsidRPr="003140BF">
        <w:rPr>
          <w:rFonts w:ascii="Times New Roman" w:eastAsia="Times New Roman" w:hAnsi="Times New Roman" w:cs="Times New Roman"/>
          <w:color w:val="292E35"/>
          <w:kern w:val="0"/>
          <w:sz w:val="24"/>
          <w:szCs w:val="24"/>
          <w14:ligatures w14:val="none"/>
        </w:rPr>
        <w:t>, México: Berea Publishing Co., 2014.</w:t>
      </w:r>
    </w:p>
    <w:p w14:paraId="2FBE6662" w14:textId="77777777" w:rsidR="00D73319" w:rsidRPr="003140BF" w:rsidRDefault="00D73319">
      <w:pPr>
        <w:rPr>
          <w:rFonts w:ascii="Times New Roman" w:hAnsi="Times New Roman" w:cs="Times New Roman"/>
          <w:sz w:val="24"/>
          <w:szCs w:val="24"/>
        </w:rPr>
      </w:pPr>
    </w:p>
    <w:sectPr w:rsidR="00D73319" w:rsidRPr="00314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35A3E"/>
    <w:multiLevelType w:val="multilevel"/>
    <w:tmpl w:val="A5F05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3A2F3F"/>
    <w:multiLevelType w:val="multilevel"/>
    <w:tmpl w:val="9F62D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74677D"/>
    <w:multiLevelType w:val="multilevel"/>
    <w:tmpl w:val="D9960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7931100">
    <w:abstractNumId w:val="0"/>
  </w:num>
  <w:num w:numId="2" w16cid:durableId="1738745676">
    <w:abstractNumId w:val="2"/>
  </w:num>
  <w:num w:numId="3" w16cid:durableId="745303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BF"/>
    <w:rsid w:val="00027F8B"/>
    <w:rsid w:val="000F37F1"/>
    <w:rsid w:val="001C5CD1"/>
    <w:rsid w:val="00210CAC"/>
    <w:rsid w:val="003140BF"/>
    <w:rsid w:val="003B0D2F"/>
    <w:rsid w:val="005E3E7B"/>
    <w:rsid w:val="006A3519"/>
    <w:rsid w:val="006A4447"/>
    <w:rsid w:val="006F582E"/>
    <w:rsid w:val="007F0B8F"/>
    <w:rsid w:val="00893450"/>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2D51"/>
  <w15:chartTrackingRefBased/>
  <w15:docId w15:val="{F1C0DCBD-EE89-47D4-A3EB-7734D0CD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314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4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40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40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40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40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40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40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40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40BF"/>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3140BF"/>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3140BF"/>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3140BF"/>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3140BF"/>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3140BF"/>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3140BF"/>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3140BF"/>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3140BF"/>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314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40BF"/>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3140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40BF"/>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3140BF"/>
    <w:pPr>
      <w:spacing w:before="160"/>
      <w:jc w:val="center"/>
    </w:pPr>
    <w:rPr>
      <w:i/>
      <w:iCs/>
      <w:color w:val="404040" w:themeColor="text1" w:themeTint="BF"/>
    </w:rPr>
  </w:style>
  <w:style w:type="character" w:customStyle="1" w:styleId="CitaCar">
    <w:name w:val="Cita Car"/>
    <w:basedOn w:val="Fuentedeprrafopredeter"/>
    <w:link w:val="Cita"/>
    <w:uiPriority w:val="29"/>
    <w:rsid w:val="003140BF"/>
    <w:rPr>
      <w:i/>
      <w:iCs/>
      <w:color w:val="404040" w:themeColor="text1" w:themeTint="BF"/>
      <w:lang w:val="es-MX"/>
    </w:rPr>
  </w:style>
  <w:style w:type="paragraph" w:styleId="Prrafodelista">
    <w:name w:val="List Paragraph"/>
    <w:basedOn w:val="Normal"/>
    <w:uiPriority w:val="34"/>
    <w:qFormat/>
    <w:rsid w:val="003140BF"/>
    <w:pPr>
      <w:ind w:left="720"/>
      <w:contextualSpacing/>
    </w:pPr>
  </w:style>
  <w:style w:type="character" w:styleId="nfasisintenso">
    <w:name w:val="Intense Emphasis"/>
    <w:basedOn w:val="Fuentedeprrafopredeter"/>
    <w:uiPriority w:val="21"/>
    <w:qFormat/>
    <w:rsid w:val="003140BF"/>
    <w:rPr>
      <w:i/>
      <w:iCs/>
      <w:color w:val="0F4761" w:themeColor="accent1" w:themeShade="BF"/>
    </w:rPr>
  </w:style>
  <w:style w:type="paragraph" w:styleId="Citadestacada">
    <w:name w:val="Intense Quote"/>
    <w:basedOn w:val="Normal"/>
    <w:next w:val="Normal"/>
    <w:link w:val="CitadestacadaCar"/>
    <w:uiPriority w:val="30"/>
    <w:qFormat/>
    <w:rsid w:val="00314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40BF"/>
    <w:rPr>
      <w:i/>
      <w:iCs/>
      <w:color w:val="0F4761" w:themeColor="accent1" w:themeShade="BF"/>
      <w:lang w:val="es-MX"/>
    </w:rPr>
  </w:style>
  <w:style w:type="character" w:styleId="Referenciaintensa">
    <w:name w:val="Intense Reference"/>
    <w:basedOn w:val="Fuentedeprrafopredeter"/>
    <w:uiPriority w:val="32"/>
    <w:qFormat/>
    <w:rsid w:val="003140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498624">
      <w:bodyDiv w:val="1"/>
      <w:marLeft w:val="0"/>
      <w:marRight w:val="0"/>
      <w:marTop w:val="0"/>
      <w:marBottom w:val="0"/>
      <w:divBdr>
        <w:top w:val="none" w:sz="0" w:space="0" w:color="auto"/>
        <w:left w:val="none" w:sz="0" w:space="0" w:color="auto"/>
        <w:bottom w:val="none" w:sz="0" w:space="0" w:color="auto"/>
        <w:right w:val="none" w:sz="0" w:space="0" w:color="auto"/>
      </w:divBdr>
      <w:divsChild>
        <w:div w:id="1069033690">
          <w:marLeft w:val="0"/>
          <w:marRight w:val="0"/>
          <w:marTop w:val="0"/>
          <w:marBottom w:val="0"/>
          <w:divBdr>
            <w:top w:val="single" w:sz="2" w:space="0" w:color="E2E8F0"/>
            <w:left w:val="single" w:sz="2" w:space="0" w:color="E2E8F0"/>
            <w:bottom w:val="single" w:sz="2" w:space="0" w:color="E2E8F0"/>
            <w:right w:val="single" w:sz="2" w:space="0" w:color="E2E8F0"/>
          </w:divBdr>
          <w:divsChild>
            <w:div w:id="1045835147">
              <w:marLeft w:val="0"/>
              <w:marRight w:val="0"/>
              <w:marTop w:val="0"/>
              <w:marBottom w:val="0"/>
              <w:divBdr>
                <w:top w:val="single" w:sz="2" w:space="0" w:color="E2E8F0"/>
                <w:left w:val="single" w:sz="2" w:space="0" w:color="E2E8F0"/>
                <w:bottom w:val="single" w:sz="2" w:space="0" w:color="E2E8F0"/>
                <w:right w:val="single" w:sz="2" w:space="0" w:color="E2E8F0"/>
              </w:divBdr>
              <w:divsChild>
                <w:div w:id="1634217502">
                  <w:marLeft w:val="0"/>
                  <w:marRight w:val="0"/>
                  <w:marTop w:val="0"/>
                  <w:marBottom w:val="0"/>
                  <w:divBdr>
                    <w:top w:val="single" w:sz="2" w:space="0" w:color="E2E8F0"/>
                    <w:left w:val="single" w:sz="2" w:space="0" w:color="E2E8F0"/>
                    <w:bottom w:val="single" w:sz="2" w:space="0" w:color="E2E8F0"/>
                    <w:right w:val="single" w:sz="6" w:space="0" w:color="FFFFFF"/>
                  </w:divBdr>
                  <w:divsChild>
                    <w:div w:id="1836258064">
                      <w:marLeft w:val="0"/>
                      <w:marRight w:val="0"/>
                      <w:marTop w:val="0"/>
                      <w:marBottom w:val="0"/>
                      <w:divBdr>
                        <w:top w:val="single" w:sz="2" w:space="8" w:color="E2E8F0"/>
                        <w:left w:val="single" w:sz="2" w:space="8" w:color="E2E8F0"/>
                        <w:bottom w:val="single" w:sz="2" w:space="8" w:color="E2E8F0"/>
                        <w:right w:val="single" w:sz="2" w:space="8" w:color="E2E8F0"/>
                      </w:divBdr>
                      <w:divsChild>
                        <w:div w:id="755790475">
                          <w:marLeft w:val="0"/>
                          <w:marRight w:val="0"/>
                          <w:marTop w:val="0"/>
                          <w:marBottom w:val="0"/>
                          <w:divBdr>
                            <w:top w:val="single" w:sz="2" w:space="0" w:color="E2E8F0"/>
                            <w:left w:val="single" w:sz="2" w:space="0" w:color="E2E8F0"/>
                            <w:bottom w:val="single" w:sz="2" w:space="0" w:color="E2E8F0"/>
                            <w:right w:val="single" w:sz="2" w:space="0" w:color="E2E8F0"/>
                          </w:divBdr>
                          <w:divsChild>
                            <w:div w:id="1590236915">
                              <w:marLeft w:val="0"/>
                              <w:marRight w:val="0"/>
                              <w:marTop w:val="0"/>
                              <w:marBottom w:val="0"/>
                              <w:divBdr>
                                <w:top w:val="single" w:sz="2" w:space="0" w:color="E2E8F0"/>
                                <w:left w:val="single" w:sz="2" w:space="0" w:color="E2E8F0"/>
                                <w:bottom w:val="single" w:sz="2" w:space="0" w:color="E2E8F0"/>
                                <w:right w:val="single" w:sz="2" w:space="0" w:color="E2E8F0"/>
                              </w:divBdr>
                            </w:div>
                            <w:div w:id="1273829432">
                              <w:marLeft w:val="0"/>
                              <w:marRight w:val="0"/>
                              <w:marTop w:val="60"/>
                              <w:marBottom w:val="0"/>
                              <w:divBdr>
                                <w:top w:val="single" w:sz="2" w:space="0" w:color="E2E8F0"/>
                                <w:left w:val="single" w:sz="2" w:space="0" w:color="E2E8F0"/>
                                <w:bottom w:val="single" w:sz="2" w:space="0" w:color="E2E8F0"/>
                                <w:right w:val="single" w:sz="2" w:space="0" w:color="E2E8F0"/>
                              </w:divBdr>
                              <w:divsChild>
                                <w:div w:id="198778272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924878805">
          <w:marLeft w:val="0"/>
          <w:marRight w:val="0"/>
          <w:marTop w:val="0"/>
          <w:marBottom w:val="0"/>
          <w:divBdr>
            <w:top w:val="single" w:sz="2" w:space="0" w:color="E2E8F0"/>
            <w:left w:val="single" w:sz="2" w:space="0" w:color="E2E8F0"/>
            <w:bottom w:val="single" w:sz="2" w:space="0" w:color="E2E8F0"/>
            <w:right w:val="single" w:sz="2" w:space="0" w:color="E2E8F0"/>
          </w:divBdr>
          <w:divsChild>
            <w:div w:id="1255475297">
              <w:marLeft w:val="0"/>
              <w:marRight w:val="0"/>
              <w:marTop w:val="0"/>
              <w:marBottom w:val="0"/>
              <w:divBdr>
                <w:top w:val="single" w:sz="2" w:space="0" w:color="E2E8F0"/>
                <w:left w:val="single" w:sz="2" w:space="0" w:color="E2E8F0"/>
                <w:bottom w:val="single" w:sz="2" w:space="0" w:color="E2E8F0"/>
                <w:right w:val="single" w:sz="2" w:space="0" w:color="E2E8F0"/>
              </w:divBdr>
              <w:divsChild>
                <w:div w:id="1383217051">
                  <w:marLeft w:val="0"/>
                  <w:marRight w:val="0"/>
                  <w:marTop w:val="0"/>
                  <w:marBottom w:val="0"/>
                  <w:divBdr>
                    <w:top w:val="single" w:sz="2" w:space="26" w:color="E2E8F0"/>
                    <w:left w:val="single" w:sz="2" w:space="0" w:color="E2E8F0"/>
                    <w:bottom w:val="single" w:sz="2" w:space="26" w:color="E2E8F0"/>
                    <w:right w:val="single" w:sz="2" w:space="0" w:color="E2E8F0"/>
                  </w:divBdr>
                  <w:divsChild>
                    <w:div w:id="1058166729">
                      <w:marLeft w:val="0"/>
                      <w:marRight w:val="0"/>
                      <w:marTop w:val="0"/>
                      <w:marBottom w:val="0"/>
                      <w:divBdr>
                        <w:top w:val="single" w:sz="2" w:space="0" w:color="E2E8F0"/>
                        <w:left w:val="single" w:sz="2" w:space="0" w:color="E2E8F0"/>
                        <w:bottom w:val="single" w:sz="2" w:space="0" w:color="E2E8F0"/>
                        <w:right w:val="single" w:sz="2" w:space="0" w:color="E2E8F0"/>
                      </w:divBdr>
                      <w:divsChild>
                        <w:div w:id="696345298">
                          <w:marLeft w:val="0"/>
                          <w:marRight w:val="0"/>
                          <w:marTop w:val="0"/>
                          <w:marBottom w:val="0"/>
                          <w:divBdr>
                            <w:top w:val="single" w:sz="2" w:space="0" w:color="E2E8F0"/>
                            <w:left w:val="single" w:sz="2" w:space="0" w:color="E2E8F0"/>
                            <w:bottom w:val="single" w:sz="2" w:space="0" w:color="E2E8F0"/>
                            <w:right w:val="single" w:sz="2" w:space="0" w:color="E2E8F0"/>
                          </w:divBdr>
                          <w:divsChild>
                            <w:div w:id="414206999">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6248</Words>
  <Characters>35617</Characters>
  <Application>Microsoft Office Word</Application>
  <DocSecurity>0</DocSecurity>
  <Lines>296</Lines>
  <Paragraphs>83</Paragraphs>
  <ScaleCrop>false</ScaleCrop>
  <Company/>
  <LinksUpToDate>false</LinksUpToDate>
  <CharactersWithSpaces>41782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2025-12-16T20:25:00Z</dcterms:created>
  <dcterms:modified xsi:type="dcterms:W3CDTF">2025-12-16T20:26:00Z</dcterms:modified>
</cp:coreProperties>
</file>