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3F08E"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Times New Roman" w:eastAsia="Times New Roman" w:hAnsi="Times New Roman" w:cs="Times New Roman"/>
          <w:b/>
          <w:bCs/>
          <w:color w:val="222222"/>
          <w:kern w:val="0"/>
          <w14:ligatures w14:val="none"/>
        </w:rPr>
      </w:pPr>
      <w:r w:rsidRPr="002127D6">
        <w:rPr>
          <w:rFonts w:ascii="Times New Roman" w:eastAsia="Times New Roman" w:hAnsi="Times New Roman" w:cs="Times New Roman"/>
          <w:b/>
          <w:bCs/>
          <w:color w:val="222222"/>
          <w:kern w:val="0"/>
          <w14:ligatures w14:val="none"/>
        </w:rPr>
        <w:t xml:space="preserve">¿Qué es un sermón? por </w:t>
      </w:r>
      <w:proofErr w:type="spellStart"/>
      <w:r w:rsidRPr="002127D6">
        <w:rPr>
          <w:rFonts w:ascii="Times New Roman" w:eastAsia="Times New Roman" w:hAnsi="Times New Roman" w:cs="Times New Roman"/>
          <w:b/>
          <w:bCs/>
          <w:color w:val="222222"/>
          <w:kern w:val="0"/>
          <w14:ligatures w14:val="none"/>
        </w:rPr>
        <w:t>Sugel</w:t>
      </w:r>
      <w:proofErr w:type="spellEnd"/>
      <w:r w:rsidRPr="002127D6">
        <w:rPr>
          <w:rFonts w:ascii="Times New Roman" w:eastAsia="Times New Roman" w:hAnsi="Times New Roman" w:cs="Times New Roman"/>
          <w:b/>
          <w:bCs/>
          <w:color w:val="222222"/>
          <w:kern w:val="0"/>
          <w14:ligatures w14:val="none"/>
        </w:rPr>
        <w:t xml:space="preserve"> Michelén</w:t>
      </w:r>
    </w:p>
    <w:p w14:paraId="3CE04476" w14:textId="77777777" w:rsidR="002127D6" w:rsidRPr="002127D6" w:rsidRDefault="002127D6" w:rsidP="002127D6">
      <w:pPr>
        <w:shd w:val="clear" w:color="auto" w:fill="FFFFFF"/>
        <w:spacing w:after="0" w:line="240" w:lineRule="auto"/>
        <w:rPr>
          <w:rFonts w:ascii="Times New Roman" w:eastAsia="Times New Roman" w:hAnsi="Times New Roman" w:cs="Times New Roman"/>
          <w:color w:val="888888"/>
          <w:kern w:val="0"/>
          <w14:ligatures w14:val="none"/>
        </w:rPr>
      </w:pPr>
      <w:r w:rsidRPr="002127D6">
        <w:rPr>
          <w:rFonts w:ascii="Times New Roman" w:eastAsia="Times New Roman" w:hAnsi="Times New Roman" w:cs="Times New Roman"/>
          <w:color w:val="888888"/>
          <w:kern w:val="0"/>
          <w:bdr w:val="single" w:sz="2" w:space="0" w:color="E2E8F0" w:frame="1"/>
          <w14:ligatures w14:val="none"/>
        </w:rPr>
        <w:t xml:space="preserve"> Terminado30m100 Puntos</w:t>
      </w:r>
    </w:p>
    <w:p w14:paraId="02AF4AA6"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127D6">
        <w:rPr>
          <w:rFonts w:ascii="Times New Roman" w:eastAsia="Times New Roman" w:hAnsi="Times New Roman" w:cs="Times New Roman"/>
          <w:b/>
          <w:bCs/>
          <w:color w:val="292E35"/>
          <w:kern w:val="0"/>
          <w:bdr w:val="single" w:sz="2" w:space="0" w:color="E2E8F0" w:frame="1"/>
          <w14:ligatures w14:val="none"/>
        </w:rPr>
        <w:t>Capítulo 4</w:t>
      </w:r>
    </w:p>
    <w:p w14:paraId="19CF6560"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127D6">
        <w:rPr>
          <w:rFonts w:ascii="Times New Roman" w:eastAsia="Times New Roman" w:hAnsi="Times New Roman" w:cs="Times New Roman"/>
          <w:b/>
          <w:bCs/>
          <w:color w:val="292E35"/>
          <w:kern w:val="0"/>
          <w:bdr w:val="single" w:sz="2" w:space="0" w:color="E2E8F0" w:frame="1"/>
          <w14:ligatures w14:val="none"/>
        </w:rPr>
        <w:t>¿Qué es un sermón expositivo?</w:t>
      </w:r>
    </w:p>
    <w:p w14:paraId="4470C7A7"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roofErr w:type="spellStart"/>
      <w:r w:rsidRPr="002127D6">
        <w:rPr>
          <w:rFonts w:ascii="Times New Roman" w:eastAsia="Times New Roman" w:hAnsi="Times New Roman" w:cs="Times New Roman"/>
          <w:color w:val="292E35"/>
          <w:kern w:val="0"/>
          <w14:ligatures w14:val="none"/>
        </w:rPr>
        <w:t>Sugel</w:t>
      </w:r>
      <w:proofErr w:type="spellEnd"/>
      <w:r w:rsidRPr="002127D6">
        <w:rPr>
          <w:rFonts w:ascii="Times New Roman" w:eastAsia="Times New Roman" w:hAnsi="Times New Roman" w:cs="Times New Roman"/>
          <w:color w:val="292E35"/>
          <w:kern w:val="0"/>
          <w14:ligatures w14:val="none"/>
        </w:rPr>
        <w:t xml:space="preserve"> Michelén</w:t>
      </w:r>
    </w:p>
    <w:p w14:paraId="35A82FDB"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
    <w:p w14:paraId="1040A467"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
    <w:p w14:paraId="1AEFAD9B"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127D6">
        <w:rPr>
          <w:rFonts w:ascii="Times New Roman" w:eastAsia="Times New Roman" w:hAnsi="Times New Roman" w:cs="Times New Roman"/>
          <w:color w:val="292E35"/>
          <w:kern w:val="0"/>
          <w14:ligatures w14:val="none"/>
        </w:rPr>
        <w:t>“</w:t>
      </w:r>
      <w:r w:rsidRPr="002127D6">
        <w:rPr>
          <w:rFonts w:ascii="Times New Roman" w:eastAsia="Times New Roman" w:hAnsi="Times New Roman" w:cs="Times New Roman"/>
          <w:i/>
          <w:iCs/>
          <w:color w:val="292E35"/>
          <w:kern w:val="0"/>
          <w:bdr w:val="single" w:sz="2" w:space="0" w:color="E2E8F0" w:frame="1"/>
          <w14:ligatures w14:val="none"/>
        </w:rPr>
        <w:t>El problema actual no está en la escasez de predicación. No, la</w:t>
      </w:r>
    </w:p>
    <w:p w14:paraId="77E3D0E6"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127D6">
        <w:rPr>
          <w:rFonts w:ascii="Times New Roman" w:eastAsia="Times New Roman" w:hAnsi="Times New Roman" w:cs="Times New Roman"/>
          <w:i/>
          <w:iCs/>
          <w:color w:val="292E35"/>
          <w:kern w:val="0"/>
          <w:bdr w:val="single" w:sz="2" w:space="0" w:color="E2E8F0" w:frame="1"/>
          <w14:ligatures w14:val="none"/>
        </w:rPr>
        <w:t>cuestión reside en la decadencia total de mucho de lo que hoy se considera</w:t>
      </w:r>
    </w:p>
    <w:p w14:paraId="79D1ED3B"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127D6">
        <w:rPr>
          <w:rFonts w:ascii="Times New Roman" w:eastAsia="Times New Roman" w:hAnsi="Times New Roman" w:cs="Times New Roman"/>
          <w:i/>
          <w:iCs/>
          <w:color w:val="292E35"/>
          <w:kern w:val="0"/>
          <w:bdr w:val="single" w:sz="2" w:space="0" w:color="E2E8F0" w:frame="1"/>
          <w14:ligatures w14:val="none"/>
        </w:rPr>
        <w:t>predicación</w:t>
      </w:r>
      <w:r w:rsidRPr="002127D6">
        <w:rPr>
          <w:rFonts w:ascii="Times New Roman" w:eastAsia="Times New Roman" w:hAnsi="Times New Roman" w:cs="Times New Roman"/>
          <w:color w:val="292E35"/>
          <w:kern w:val="0"/>
          <w14:ligatures w14:val="none"/>
        </w:rPr>
        <w:t>” (Steven J. Lawson)</w:t>
      </w:r>
    </w:p>
    <w:p w14:paraId="0586DD02"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p>
    <w:p w14:paraId="21D950D9"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127D6">
        <w:rPr>
          <w:rFonts w:ascii="Times New Roman" w:eastAsia="Times New Roman" w:hAnsi="Times New Roman" w:cs="Times New Roman"/>
          <w:color w:val="292E35"/>
          <w:kern w:val="0"/>
          <w14:ligatures w14:val="none"/>
        </w:rPr>
        <w:t>“</w:t>
      </w:r>
      <w:r w:rsidRPr="002127D6">
        <w:rPr>
          <w:rFonts w:ascii="Times New Roman" w:eastAsia="Times New Roman" w:hAnsi="Times New Roman" w:cs="Times New Roman"/>
          <w:i/>
          <w:iCs/>
          <w:color w:val="292E35"/>
          <w:kern w:val="0"/>
          <w:bdr w:val="single" w:sz="2" w:space="0" w:color="E2E8F0" w:frame="1"/>
          <w14:ligatures w14:val="none"/>
        </w:rPr>
        <w:t>La predicación bombea la sangre de la Palabra de Dios en las</w:t>
      </w:r>
    </w:p>
    <w:p w14:paraId="28FF545F"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127D6">
        <w:rPr>
          <w:rFonts w:ascii="Times New Roman" w:eastAsia="Times New Roman" w:hAnsi="Times New Roman" w:cs="Times New Roman"/>
          <w:i/>
          <w:iCs/>
          <w:color w:val="292E35"/>
          <w:kern w:val="0"/>
          <w:bdr w:val="single" w:sz="2" w:space="0" w:color="E2E8F0" w:frame="1"/>
          <w14:ligatures w14:val="none"/>
        </w:rPr>
        <w:t>arterias, venas y vasos capilares de los órganos vitales de la iglesia</w:t>
      </w:r>
      <w:r w:rsidRPr="002127D6">
        <w:rPr>
          <w:rFonts w:ascii="Times New Roman" w:eastAsia="Times New Roman" w:hAnsi="Times New Roman" w:cs="Times New Roman"/>
          <w:color w:val="292E35"/>
          <w:kern w:val="0"/>
          <w14:ligatures w14:val="none"/>
        </w:rPr>
        <w:t>”</w:t>
      </w:r>
    </w:p>
    <w:p w14:paraId="66549B8C"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14:ligatures w14:val="none"/>
        </w:rPr>
      </w:pPr>
      <w:r w:rsidRPr="002127D6">
        <w:rPr>
          <w:rFonts w:ascii="Times New Roman" w:eastAsia="Times New Roman" w:hAnsi="Times New Roman" w:cs="Times New Roman"/>
          <w:color w:val="292E35"/>
          <w:kern w:val="0"/>
          <w14:ligatures w14:val="none"/>
        </w:rPr>
        <w:t>(Mike Abendroth)</w:t>
      </w:r>
    </w:p>
    <w:p w14:paraId="56E03E4C"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p>
    <w:p w14:paraId="573A8FB3" w14:textId="77777777" w:rsidR="005C1EA3" w:rsidRDefault="005C1EA3"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sectPr w:rsidR="005C1EA3">
          <w:pgSz w:w="12240" w:h="15840"/>
          <w:pgMar w:top="1440" w:right="1440" w:bottom="1440" w:left="1440" w:header="720" w:footer="720" w:gutter="0"/>
          <w:cols w:space="720"/>
          <w:docGrid w:linePitch="360"/>
        </w:sectPr>
      </w:pPr>
    </w:p>
    <w:p w14:paraId="73C2CDC9"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Es domingo por la mañana y el servicio de adoración está a punto de comenzar. Los miembros de la congregación están muy expectantes porque el pastor les había anunciado en el culto de oración, a mitad de semana, que ese domingo iba a predicar sobre el conocidísimo enfrentamiento entre David y Goliat. Todos en la iglesia reconocen la habilidad inusual que tiene su pastor para tomar pasajes históricos del Antiguo Testamento y extraer de ellos sorprendentes aplicaciones prácticas para la vida del hombre contemporáneo. Y esa mañana no fue la excepción.</w:t>
      </w:r>
    </w:p>
    <w:p w14:paraId="135D929B"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07CDFE15"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El pastor subió al púlpito, abrió su Biblia en el capítulo 17 del Primer libro de Samuel y de una forma impresionante los llevó en su imaginación al campo de batalla </w:t>
      </w:r>
      <w:r w:rsidRPr="005C1EA3">
        <w:rPr>
          <w:rFonts w:ascii="Times New Roman" w:eastAsia="Times New Roman" w:hAnsi="Times New Roman" w:cs="Times New Roman"/>
          <w:color w:val="292E35"/>
          <w:kern w:val="0"/>
          <w:sz w:val="32"/>
          <w:szCs w:val="32"/>
          <w14:ligatures w14:val="none"/>
        </w:rPr>
        <w:t>donde David tuvo que enfrentarse con aquel aterrador gigante filisteo. Los tres puntos de su bosquejo eran muy fáciles de recordar: 1) un gran reto, 2) una gran actitud, y 3) una gran victoria. David se enfrentó a un gran reto aquel día, pero lo hizo con una actitud valiente y confiada, y obtuvo como resultado una gran victoria sobre su enemigo.</w:t>
      </w:r>
    </w:p>
    <w:p w14:paraId="049920D5"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018D3D83"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Los hermanos de la iglesia se sentían muy animados mientras el pastor los exhortaba a seguir el ejemplo de David al enfrentar a los gigantes que nos asaltan cada día en este mundo caído: el gigante de la tentación, el gigante del temor y la ansiedad, el gigante de la depresión y la duda, y muchos otros enemigos que nos parecen invencibles. Pero al igual </w:t>
      </w:r>
      <w:r w:rsidRPr="005C1EA3">
        <w:rPr>
          <w:rFonts w:ascii="Times New Roman" w:eastAsia="Times New Roman" w:hAnsi="Times New Roman" w:cs="Times New Roman"/>
          <w:color w:val="292E35"/>
          <w:kern w:val="0"/>
          <w:sz w:val="32"/>
          <w:szCs w:val="32"/>
          <w14:ligatures w14:val="none"/>
        </w:rPr>
        <w:lastRenderedPageBreak/>
        <w:t>que David, solo necesitamos hacerles frente a nuestros problemas con una honda y cinco piedras: la piedra de la fe, la del coraje, la de la oración, la de la determinación y la de la constancia.</w:t>
      </w:r>
    </w:p>
    <w:p w14:paraId="227D6B8F"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409423CB"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Al final del servicio todos salieron agradeciendo al pastor por haberles traído un mensaje tan pertinente. Y eso, por supuesto, alentaba al pastor a seguir predicando sermones similares a este, es decir, que espiritualizan la enseñanza del texto bíblico sin exponer realmente lo que el pasaje enseña. Esta historia ficticia nos ilustra el círculo vicioso que se repite en muchas iglesias una y otra vez por falta de un entendimiento claro de lo que es un sermón expositivo.</w:t>
      </w:r>
    </w:p>
    <w:p w14:paraId="0E2DF5BC"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1438D3F6"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Y ese es precisamente el tema que vamos a abordar en este capítulo. Pero antes de pasar a definir esta clase de sermón, quisiera considerar tres de las figuras más iluminadoras del Nuevo Testamento para señalarles a los predicadores. Como espero mostrar en un momento, la naturaleza de nuestro mensaje deriva directamente de la </w:t>
      </w:r>
      <w:r w:rsidRPr="005C1EA3">
        <w:rPr>
          <w:rFonts w:ascii="Times New Roman" w:eastAsia="Times New Roman" w:hAnsi="Times New Roman" w:cs="Times New Roman"/>
          <w:color w:val="292E35"/>
          <w:kern w:val="0"/>
          <w:sz w:val="32"/>
          <w:szCs w:val="32"/>
          <w14:ligatures w14:val="none"/>
        </w:rPr>
        <w:t>naturaleza de nuestro llamado. En otras palabras, lo que somos por vocación determina tanto lo que hacemos como lo que decimos en Tel desempeño de nuestra labor.</w:t>
      </w:r>
    </w:p>
    <w:p w14:paraId="632853B7"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b/>
          <w:bCs/>
          <w:color w:val="292E35"/>
          <w:kern w:val="0"/>
          <w:sz w:val="32"/>
          <w:szCs w:val="32"/>
          <w:bdr w:val="single" w:sz="2" w:space="0" w:color="E2E8F0" w:frame="1"/>
          <w14:ligatures w14:val="none"/>
        </w:rPr>
        <w:t> </w:t>
      </w:r>
    </w:p>
    <w:p w14:paraId="1D207B09"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b/>
          <w:bCs/>
          <w:color w:val="292E35"/>
          <w:kern w:val="0"/>
          <w:sz w:val="32"/>
          <w:szCs w:val="32"/>
          <w:bdr w:val="single" w:sz="2" w:space="0" w:color="E2E8F0" w:frame="1"/>
          <w14:ligatures w14:val="none"/>
        </w:rPr>
        <w:t>Administradores de los misterios de Dios</w:t>
      </w:r>
    </w:p>
    <w:p w14:paraId="021CBCCC"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Pablo usa esta figura en su primera carta a la iglesia en Corinto, una ciudad griega de gran importancia en los tiempos del Nuevo Testamento, y muy depravada por cierto (tanto es así que los griegos acuñaron el término </w:t>
      </w:r>
      <w:proofErr w:type="spellStart"/>
      <w:r w:rsidRPr="005C1EA3">
        <w:rPr>
          <w:rFonts w:ascii="Times New Roman" w:eastAsia="Times New Roman" w:hAnsi="Times New Roman" w:cs="Times New Roman"/>
          <w:color w:val="292E35"/>
          <w:kern w:val="0"/>
          <w:sz w:val="32"/>
          <w:szCs w:val="32"/>
          <w14:ligatures w14:val="none"/>
        </w:rPr>
        <w:t>corintizar</w:t>
      </w:r>
      <w:proofErr w:type="spellEnd"/>
      <w:r w:rsidRPr="005C1EA3">
        <w:rPr>
          <w:rFonts w:ascii="Times New Roman" w:eastAsia="Times New Roman" w:hAnsi="Times New Roman" w:cs="Times New Roman"/>
          <w:color w:val="292E35"/>
          <w:kern w:val="0"/>
          <w:sz w:val="32"/>
          <w:szCs w:val="32"/>
          <w14:ligatures w14:val="none"/>
        </w:rPr>
        <w:t xml:space="preserve"> para referirse al estilo de vida licencioso de sus habitantes). En el segundo viaje misionero de Pablo, y a pesar de la inmoralidad reinante en Corinto, Dios levantó una iglesia allí a la que se añadió mucha gente durante el año y medio de su ministerio.</w:t>
      </w:r>
    </w:p>
    <w:p w14:paraId="23839E40"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0B5AC350"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Lamentablemente, muchos de sus miembros habían arrastrado consigo algunos de los aspectos más dominantes de su cultura. Los griegos eran muy aficionados a la filosofía y a la retórica, es decir, el arte de la elocuencia y de la argumentación eficaz; y las personas solían alinearse en torno a los maestros de su preferencia. </w:t>
      </w:r>
      <w:r w:rsidRPr="005C1EA3">
        <w:rPr>
          <w:rFonts w:ascii="Times New Roman" w:eastAsia="Times New Roman" w:hAnsi="Times New Roman" w:cs="Times New Roman"/>
          <w:color w:val="292E35"/>
          <w:kern w:val="0"/>
          <w:sz w:val="32"/>
          <w:szCs w:val="32"/>
          <w14:ligatures w14:val="none"/>
        </w:rPr>
        <w:lastRenderedPageBreak/>
        <w:t xml:space="preserve">Lo mismo estaba sucediendo en la iglesia (1 Cor. 1:10-12). Se habían formado partidos alrededor de la figura de ciertos predicadores a los que veían como celebridades, lo que provocó una división interna en la iglesia. Unos decían ser seguidores de Pablo, otros de Apolos y otros de Pedro. Y, por supuesto, no faltaban los </w:t>
      </w:r>
      <w:proofErr w:type="spellStart"/>
      <w:r w:rsidRPr="005C1EA3">
        <w:rPr>
          <w:rFonts w:ascii="Times New Roman" w:eastAsia="Times New Roman" w:hAnsi="Times New Roman" w:cs="Times New Roman"/>
          <w:color w:val="292E35"/>
          <w:kern w:val="0"/>
          <w:sz w:val="32"/>
          <w:szCs w:val="32"/>
          <w14:ligatures w14:val="none"/>
        </w:rPr>
        <w:t>superespirituales</w:t>
      </w:r>
      <w:proofErr w:type="spellEnd"/>
      <w:r w:rsidRPr="005C1EA3">
        <w:rPr>
          <w:rFonts w:ascii="Times New Roman" w:eastAsia="Times New Roman" w:hAnsi="Times New Roman" w:cs="Times New Roman"/>
          <w:color w:val="292E35"/>
          <w:kern w:val="0"/>
          <w:sz w:val="32"/>
          <w:szCs w:val="32"/>
          <w14:ligatures w14:val="none"/>
        </w:rPr>
        <w:t xml:space="preserve"> que se jactaban de no seguir a ningún hombre, sino únicamente a Cristo; la realidad es que este último grupo era tan problemático como todos los demás. Esta penosa situación movió a Pablo a recordarles cuál es la verdadera identidad de los pastores de la grey: “Así, pues, téngannos los hombres por servidores de Cristo, y administradores de los misterios de Dios” (1 Cor. 4:1). Con estas pocas palabras Pablo dio un golpe certero, tanto a los que eran fanáticos de ciertos predicadores como también a los que pretendían seguir a Cristo pasando por alto a aquellos que el mismo Cristo había llamado para predicar Su Palabra. Los ministros del evangelio juegan un papel de suprema importancia para la salud de la iglesia no como celebridades, sino como </w:t>
      </w:r>
      <w:r w:rsidRPr="005C1EA3">
        <w:rPr>
          <w:rFonts w:ascii="Times New Roman" w:eastAsia="Times New Roman" w:hAnsi="Times New Roman" w:cs="Times New Roman"/>
          <w:color w:val="292E35"/>
          <w:kern w:val="0"/>
          <w:sz w:val="32"/>
          <w:szCs w:val="32"/>
          <w14:ligatures w14:val="none"/>
        </w:rPr>
        <w:t>administradores de los misterios de Dios.</w:t>
      </w:r>
    </w:p>
    <w:p w14:paraId="3403982C"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08F1AE19"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En su libro “Imágenes del predicador en el Nuevo Testamento”, John Stott dice lo siguiente acerca de esta figura:</w:t>
      </w:r>
    </w:p>
    <w:p w14:paraId="3AB0ADF4"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El administrador es el depositario y el dispensador de los bienes de otro. Del mismo modo, el predicador es un </w:t>
      </w:r>
      <w:proofErr w:type="spellStart"/>
      <w:r w:rsidRPr="005C1EA3">
        <w:rPr>
          <w:rFonts w:ascii="Times New Roman" w:eastAsia="Times New Roman" w:hAnsi="Times New Roman" w:cs="Times New Roman"/>
          <w:color w:val="292E35"/>
          <w:kern w:val="0"/>
          <w:sz w:val="32"/>
          <w:szCs w:val="32"/>
          <w14:ligatures w14:val="none"/>
        </w:rPr>
        <w:t>admi-nistrador</w:t>
      </w:r>
      <w:proofErr w:type="spellEnd"/>
      <w:r w:rsidRPr="005C1EA3">
        <w:rPr>
          <w:rFonts w:ascii="Times New Roman" w:eastAsia="Times New Roman" w:hAnsi="Times New Roman" w:cs="Times New Roman"/>
          <w:color w:val="292E35"/>
          <w:kern w:val="0"/>
          <w:sz w:val="32"/>
          <w:szCs w:val="32"/>
          <w14:ligatures w14:val="none"/>
        </w:rPr>
        <w:t xml:space="preserve"> de los misterios de Dios, es decir, de la </w:t>
      </w:r>
      <w:proofErr w:type="spellStart"/>
      <w:r w:rsidRPr="005C1EA3">
        <w:rPr>
          <w:rFonts w:ascii="Times New Roman" w:eastAsia="Times New Roman" w:hAnsi="Times New Roman" w:cs="Times New Roman"/>
          <w:color w:val="292E35"/>
          <w:kern w:val="0"/>
          <w:sz w:val="32"/>
          <w:szCs w:val="32"/>
          <w14:ligatures w14:val="none"/>
        </w:rPr>
        <w:t>autorevelación</w:t>
      </w:r>
      <w:proofErr w:type="spellEnd"/>
      <w:r w:rsidRPr="005C1EA3">
        <w:rPr>
          <w:rFonts w:ascii="Times New Roman" w:eastAsia="Times New Roman" w:hAnsi="Times New Roman" w:cs="Times New Roman"/>
          <w:color w:val="292E35"/>
          <w:kern w:val="0"/>
          <w:sz w:val="32"/>
          <w:szCs w:val="32"/>
          <w14:ligatures w14:val="none"/>
        </w:rPr>
        <w:t xml:space="preserve"> que Dios ha confiado a los hombres y que ahora está preservada en las Escrituras. Por tanto, el mensaje del predicador cristiano no se deriva directamente de la boca de Dios como si […] fuera un profeta o un apóstol, ni tiene su origen en su propia mente, como en el caso de los falsos profetas, ni procede de la mente o la boca de otros, como en el caso del charlatán, sino de la Palabra de Dios revelada una vez y registrada ahora, de la cual el predicador es un privilegiado administrador.</w:t>
      </w:r>
    </w:p>
    <w:p w14:paraId="270E3E50"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68794047"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Lo que se requiere del administrador no es que sea original, sino que sea fiel administrando lo que se le encomendó, en este caso “los misterios de Dios” (1 Cor. 4:1-2). </w:t>
      </w:r>
      <w:r w:rsidRPr="005C1EA3">
        <w:rPr>
          <w:rFonts w:ascii="Times New Roman" w:eastAsia="Times New Roman" w:hAnsi="Times New Roman" w:cs="Times New Roman"/>
          <w:color w:val="292E35"/>
          <w:kern w:val="0"/>
          <w:sz w:val="32"/>
          <w:szCs w:val="32"/>
          <w14:ligatures w14:val="none"/>
        </w:rPr>
        <w:lastRenderedPageBreak/>
        <w:t xml:space="preserve">La palabra que se traduce como “misterios” no se usa en el Nuevo Testamento para referirse a cierta clase de secreto reservado para unos cuantos iniciados, sino más bien a un conjunto de verdades que solo pueden conocerse si Dios toma la iniciativa de revelarlas. En este caso, los misterios de Dios son “la suma total de la revelación que Él ha dado de sí mismo y que ahora está contenida en las Escrituras”. Estos son los “bienes” que el predicador está llamado a administrar, para edificar con ellos al pueblo de Dios. </w:t>
      </w:r>
    </w:p>
    <w:p w14:paraId="0EA3CCFF"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2"/>
          <w:szCs w:val="32"/>
          <w14:ligatures w14:val="none"/>
        </w:rPr>
      </w:pPr>
    </w:p>
    <w:p w14:paraId="3CFC0703"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b/>
          <w:bCs/>
          <w:color w:val="292E35"/>
          <w:kern w:val="0"/>
          <w:sz w:val="32"/>
          <w:szCs w:val="32"/>
          <w:bdr w:val="single" w:sz="2" w:space="0" w:color="E2E8F0" w:frame="1"/>
          <w14:ligatures w14:val="none"/>
        </w:rPr>
        <w:t>Heraldos del Dios Altísimo</w:t>
      </w:r>
    </w:p>
    <w:p w14:paraId="2BA5D6A8"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Actualmente, cuando un gobernante quiere transmitir un mensaje al pueblo organiza una rueda de prensa. En la antigüedad enviaban a un heraldo o pregonero que tenía la responsabilidad de comunicar fielmente los anuncios y decretos del rey en voz alta y con autoridad (Dan. 3:1-6). La voz del heraldo debía ser escuchada y obedecida como si fuera la voz del rey mismo porque el heraldo no hablaba por su propia cuenta ni transmitía sus propias palabras. Él tenía la responsabilidad de </w:t>
      </w:r>
      <w:r w:rsidRPr="005C1EA3">
        <w:rPr>
          <w:rFonts w:ascii="Times New Roman" w:eastAsia="Times New Roman" w:hAnsi="Times New Roman" w:cs="Times New Roman"/>
          <w:color w:val="292E35"/>
          <w:kern w:val="0"/>
          <w:sz w:val="32"/>
          <w:szCs w:val="32"/>
          <w14:ligatures w14:val="none"/>
        </w:rPr>
        <w:t>proclamar el mensaje del rey con toda claridad, sin quitarle nada ni añadirle nada.</w:t>
      </w:r>
    </w:p>
    <w:p w14:paraId="1428B956"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795AC499"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Esta es una de las figuras más recurrentes del Nuevo Testamento para referirse a los predicadores y a la predicación. Escribiendo a los corintios, Pablo les recuerda que Dios determinó salvar a los creyentes “por la locura de la predicación” (literalmente “la proclamación como un heraldo”). He aquí la explicación de Pablo del proceder de Dios: “Porque los judíos piden señales, y los griegos buscan sabiduría; pero nosotros predicamos —o proclamamos como heraldos— a Cristo crucificado” (1 Cor. 1:22- 23). Y en sus cartas a Timoteo Pablo le dice en dos ocasiones que él había sido constituido “predicador” (es decir, “heraldo”) y “apóstol y maestro de los gentiles” (1 Tim. 2:7; 2 Tim. 1:11); al mismo tiempo le encarga solemnemente a su hijo en la fe que predique o proclame como un heraldo la Palabra (2 Tim. 4:1-2).</w:t>
      </w:r>
    </w:p>
    <w:p w14:paraId="2A350FCE"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50AC0CCE"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Aunque la función del administrador y del heraldo tienen puntos en común (ambos deben </w:t>
      </w:r>
      <w:r w:rsidRPr="005C1EA3">
        <w:rPr>
          <w:rFonts w:ascii="Times New Roman" w:eastAsia="Times New Roman" w:hAnsi="Times New Roman" w:cs="Times New Roman"/>
          <w:color w:val="292E35"/>
          <w:kern w:val="0"/>
          <w:sz w:val="32"/>
          <w:szCs w:val="32"/>
          <w14:ligatures w14:val="none"/>
        </w:rPr>
        <w:lastRenderedPageBreak/>
        <w:t>comunicar íntegramente el mensaje que se les ha confiado), el énfasis del heraldo está en la proclamación a viva voz de una noticia o decreto. Más aún, la proclamación del heraldo demanda una respuesta de sus oyentes al mensaje que está siendo proclamado de parte del rey. Por eso el teólogo norteamericano del Nuevo Testamento Robert Mounce enfatiza que la predicación apostólica consistía básicamente en dos acciones: proclamar y apelar, es decir, hacer un llamado a la acción que se deriva directamente de la verdad que ha sido proclamada.</w:t>
      </w:r>
    </w:p>
    <w:p w14:paraId="737412CD"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470225C1"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Esto pone de relieve una de las diferencias fundamentales entre la predicación y otras formas de comunicación, y es que predicamos “para llegar a un veredicto”, como bien señala John Stott. “Proclamar no es lo mismo que dar una conferencia. Una conferencia es algo desapasionado, objetivo, académico. Va dirigida a la mente. No busca ningún resultado, sino simplemente impartir determinada información y quizás hacer que el estudiante </w:t>
      </w:r>
      <w:r w:rsidRPr="005C1EA3">
        <w:rPr>
          <w:rFonts w:ascii="Times New Roman" w:eastAsia="Times New Roman" w:hAnsi="Times New Roman" w:cs="Times New Roman"/>
          <w:color w:val="292E35"/>
          <w:kern w:val="0"/>
          <w:sz w:val="32"/>
          <w:szCs w:val="32"/>
          <w14:ligatures w14:val="none"/>
        </w:rPr>
        <w:t>investigue luego por su propia cuenta. Pero el heraldo de Dios viene con una proclamación urgente de paz mediante la sangre de la cruz y con un reto a los oyentes a arrepentirse, a deponer sus armas y a aceptar humildemente el perdón que se les ofrece”.</w:t>
      </w:r>
    </w:p>
    <w:p w14:paraId="386F2A84"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1BBED5C8"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Esto nos lleva de la mano a la tercera figura que usa el Nuevo Testamento para referirse a los predicadores…</w:t>
      </w:r>
    </w:p>
    <w:p w14:paraId="031C2C9B"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6AE7ECB4"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b/>
          <w:bCs/>
          <w:color w:val="292E35"/>
          <w:kern w:val="0"/>
          <w:sz w:val="32"/>
          <w:szCs w:val="32"/>
          <w:bdr w:val="single" w:sz="2" w:space="0" w:color="E2E8F0" w:frame="1"/>
          <w14:ligatures w14:val="none"/>
        </w:rPr>
        <w:t>Embajadores en nombre de Cristo</w:t>
      </w:r>
    </w:p>
    <w:p w14:paraId="5E70B0A6"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En la conclusión de su Carta a los efesios, Pablo se refiere a sí mismo como un “embajador en cadenas” (Ef. 6:20); y en su Segunda carta a los corintios, señala a los ministros del evangelio como embajadores que ruegan en nombre de Dios llamando a los hombres a la reconciliación: Y todo esto proviene de Dios, quien nos reconcilió consigo mismo por Cristo, y nos dio el ministerio de la reconciliación; que Dios estaba en Cristo reconciliando consigo al mundo, no tomándoles en cuenta a los hombres sus pecados, y nos encargó a nosotros la palabra de la </w:t>
      </w:r>
      <w:r w:rsidRPr="005C1EA3">
        <w:rPr>
          <w:rFonts w:ascii="Times New Roman" w:eastAsia="Times New Roman" w:hAnsi="Times New Roman" w:cs="Times New Roman"/>
          <w:color w:val="292E35"/>
          <w:kern w:val="0"/>
          <w:sz w:val="32"/>
          <w:szCs w:val="32"/>
          <w14:ligatures w14:val="none"/>
        </w:rPr>
        <w:lastRenderedPageBreak/>
        <w:t>reconciliación. Así que, somos embajadores en nombre de Cristo, como si Dios rogase por medio de nosotros; os rogamos en nombre de Cristo: Reconciliaos con Dios. Al que no conoció pecado, por nosotros lo hizo pecado, para que nosotros fuésemos hechos justicia de Dios en él (2 Cor. 5:18-21).</w:t>
      </w:r>
    </w:p>
    <w:p w14:paraId="2435B96E"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3C1784BB"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¡Esto debería dejarnos sin aliento! El Dios del cielo, que ha sido seriamente ofendido por nuestros pecados, no solo provee salvación a través de la muerte de Su propio Hijo, sino que también toma la iniciativa de enviar embajadores que anuncien y ofrezcan los términos de la reconciliación. “Somos embajadores en nombre de Cristo, como si Dios rogase por medio de nosotros” (2 Cor. 5:20).</w:t>
      </w:r>
    </w:p>
    <w:p w14:paraId="6D4BD69E"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11755FB1"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Merecemos la ira y la condenación, pero Cristo recibió en la cruz del Calvario el castigo que nosotros merecemos y, a cambio, nos ofrece Su justicia perfecta, la cual es puesta en nuestra cuenta por medio de la fe (Rom. 4:1-8; 2 Cor. 5:21). ¡Oh, misterio de los misterios! ¡El ofendido tomó la iniciativa de reconciliarse con el ofensor, al precio de la vida de Su Hijo! </w:t>
      </w:r>
      <w:r w:rsidRPr="005C1EA3">
        <w:rPr>
          <w:rFonts w:ascii="Times New Roman" w:eastAsia="Times New Roman" w:hAnsi="Times New Roman" w:cs="Times New Roman"/>
          <w:color w:val="292E35"/>
          <w:kern w:val="0"/>
          <w:sz w:val="32"/>
          <w:szCs w:val="32"/>
          <w14:ligatures w14:val="none"/>
        </w:rPr>
        <w:t>Sobre la base de esa obra redentora, que primero obró en nosotros mismos, ahora, como embajadores, invitamos a los hombres a reconciliarse con Dios viniendo a Cristo con arrepentimiento y fe.</w:t>
      </w:r>
    </w:p>
    <w:p w14:paraId="5EE4B92E"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07A0F62D"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b/>
          <w:bCs/>
          <w:color w:val="292E35"/>
          <w:kern w:val="0"/>
          <w:sz w:val="32"/>
          <w:szCs w:val="32"/>
          <w:bdr w:val="single" w:sz="2" w:space="0" w:color="E2E8F0" w:frame="1"/>
          <w14:ligatures w14:val="none"/>
        </w:rPr>
        <w:t>Fidelidad y precisión</w:t>
      </w:r>
    </w:p>
    <w:p w14:paraId="4510D55E"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Somos administradores, heraldos y embajadores. Estas tres figuras no dejan lugar a dudas en cuanto a la naturaleza de nuestra labor. Debemos ser cuidadosos administrando los bienes del Dueño, fieles y precisos al proclamar el mensaje de nuestro Rey. De ahí la exhortación de Pablo a Timoteo en su segunda carta: “Procura con diligencia presentarte a Dios aprobado, como obrero que no tiene de qué avergonzarse, que usa bien la palabra de verdad” (2 Tim. 2:15). La palabra procurar es la traducción de una palabra griega que significa ‘haz tu mejor esfuerzo’, ‘trabaja duro’, ‘sé diligente’. Pablo quiere que su hijo en la fe pueda comparecer delante de Dios como un obrero aprobado; la otra opción era ser avergonzado “por la fatal desaprobación de Dios” (traducido por el autor). Timoteo </w:t>
      </w:r>
      <w:r w:rsidRPr="005C1EA3">
        <w:rPr>
          <w:rFonts w:ascii="Times New Roman" w:eastAsia="Times New Roman" w:hAnsi="Times New Roman" w:cs="Times New Roman"/>
          <w:color w:val="292E35"/>
          <w:kern w:val="0"/>
          <w:sz w:val="32"/>
          <w:szCs w:val="32"/>
          <w14:ligatures w14:val="none"/>
        </w:rPr>
        <w:lastRenderedPageBreak/>
        <w:t>debía trabajar duro, hasta el agotamiento si fuera necesario, con tal de manejar de manera apropiada la Palabra de verdad.</w:t>
      </w:r>
    </w:p>
    <w:p w14:paraId="31D659C1"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073E1C74"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El predicador debe asegurarse, hasta donde le sea posible, de que está entregando fielmente el mensaje de Dios revelado en Su Palabra, no citando un texto aquí y otro allá que parecen apoyar sus ideas, sino a través de un estudio diligente para desentrañar el verdadero significado del pasaje (o los pasajes) de las Escrituras que está exponiendo.</w:t>
      </w:r>
    </w:p>
    <w:p w14:paraId="74D651B9"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5D0A2044"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Pedro dice en su primera carta que “Si alguno habla, hable conforme a las palabras de Dios” (1 Ped. 4:11). Cuando nos colocamos detrás del púlpito es para transmitir lo que Dios realmente dice en Su Palabra, y no lo que a nosotros o a la congregación nos gustaría que dijera. Nuestro mensaje debe ser el mensaje del texto porque lo que el texto dice tiene autoridad sobre nosotros.</w:t>
      </w:r>
    </w:p>
    <w:p w14:paraId="6884A67E"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43F42F27"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Del Señor Jesucristo se dice en Juan 3:34: “Porque el que Dios envió, </w:t>
      </w:r>
      <w:proofErr w:type="gramStart"/>
      <w:r w:rsidRPr="005C1EA3">
        <w:rPr>
          <w:rFonts w:ascii="Times New Roman" w:eastAsia="Times New Roman" w:hAnsi="Times New Roman" w:cs="Times New Roman"/>
          <w:color w:val="292E35"/>
          <w:kern w:val="0"/>
          <w:sz w:val="32"/>
          <w:szCs w:val="32"/>
          <w14:ligatures w14:val="none"/>
        </w:rPr>
        <w:t>las palabras de Dios habla</w:t>
      </w:r>
      <w:proofErr w:type="gramEnd"/>
      <w:r w:rsidRPr="005C1EA3">
        <w:rPr>
          <w:rFonts w:ascii="Times New Roman" w:eastAsia="Times New Roman" w:hAnsi="Times New Roman" w:cs="Times New Roman"/>
          <w:color w:val="292E35"/>
          <w:kern w:val="0"/>
          <w:sz w:val="32"/>
          <w:szCs w:val="32"/>
          <w14:ligatures w14:val="none"/>
        </w:rPr>
        <w:t xml:space="preserve">”. Y en Juan 7:16-18 el Señor dice de Sí mismo: “Mi </w:t>
      </w:r>
      <w:r w:rsidRPr="005C1EA3">
        <w:rPr>
          <w:rFonts w:ascii="Times New Roman" w:eastAsia="Times New Roman" w:hAnsi="Times New Roman" w:cs="Times New Roman"/>
          <w:color w:val="292E35"/>
          <w:kern w:val="0"/>
          <w:sz w:val="32"/>
          <w:szCs w:val="32"/>
          <w14:ligatures w14:val="none"/>
        </w:rPr>
        <w:t>doctrina no es mía, sino de aquel que me envió. El que quiera hacer la voluntad de Dios, conocerá si la doctrina es de Dios, o si yo hablo por mi propia cuenta. El que habla por su propia cuenta, su propia gloria busca”.</w:t>
      </w:r>
    </w:p>
    <w:p w14:paraId="09C1BCEB"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68793D5D"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Aquel que usa la predicación para dar a conocer sus propias opiniones de las cosas está buscando su propia gloria, pero el que busca la gloria de Dios se ocupará en proclamar los decretos de Dios únicamente. “Porque yo no he hablado por mi propia cuenta —dice Jesús más adelante—; el Padre que me envió, él me dio mandamiento de lo que he de decir, y de lo que he de hablar. Y sé que su mandamiento es vida eterna. Así pues, lo que yo hablo, lo hablo como el Padre me lo ha dicho” (Juan 12:49-50).</w:t>
      </w:r>
    </w:p>
    <w:p w14:paraId="0E340942"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7D53CEBD"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Esto debe poner una gran responsabilidad sobre los predicadores. Si nuestro Señor Jesucristo se cuidó de decir exactamente lo que había oído del Padre, ¡cuánto más nosotros! Al colocarnos detrás del púlpito o al asumir la postura de maestros de la Palabra en cualquier otro </w:t>
      </w:r>
      <w:r w:rsidRPr="005C1EA3">
        <w:rPr>
          <w:rFonts w:ascii="Times New Roman" w:eastAsia="Times New Roman" w:hAnsi="Times New Roman" w:cs="Times New Roman"/>
          <w:color w:val="292E35"/>
          <w:kern w:val="0"/>
          <w:sz w:val="32"/>
          <w:szCs w:val="32"/>
          <w14:ligatures w14:val="none"/>
        </w:rPr>
        <w:lastRenderedPageBreak/>
        <w:t>contexto, debemos poder decir con integridad: “Yo no hablo por mi propia cuenta; estoy enseñando lo que aprendí de Dios al escudriñar Su Palabra”.</w:t>
      </w:r>
    </w:p>
    <w:p w14:paraId="132F177B"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10A4960A"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De más está decir que el estudio cuidadoso del pasaje no es un fin en sí mismo y mucho menos un medio para alardear de erudición en el púlpito. Podemos caer en el error de hacer de la predicación un mero ejercicio académico; podemos estar tan preocupados por la buena interpretación o la estructura del sermón que olvidamos que nuestra tarea es hacer uso de los instrumentos que tenemos a la mano para conocer la mente y el corazón de Dios revelados en las Escrituras y luego poder transmitirlo de una forma eficaz a la mente y el corazón de nuestros oyentes.</w:t>
      </w:r>
    </w:p>
    <w:p w14:paraId="151CB4A2"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094A6AC5"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center"/>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b/>
          <w:bCs/>
          <w:color w:val="292E35"/>
          <w:kern w:val="0"/>
          <w:sz w:val="32"/>
          <w:szCs w:val="32"/>
          <w:bdr w:val="single" w:sz="2" w:space="0" w:color="E2E8F0" w:frame="1"/>
          <w14:ligatures w14:val="none"/>
        </w:rPr>
        <w:t>¿Qué es, entonces, un sermón expositivo?</w:t>
      </w:r>
    </w:p>
    <w:p w14:paraId="06EEB8B9"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Me adelanto a decir que un sermón expositivo no consiste en tomar un pasaje de la Biblia y explicar el significado de cada versículo y de cada una de las palabras más importantes que vamos encontrando en el camino; cuando esto sucede, el predicador </w:t>
      </w:r>
      <w:r w:rsidRPr="005C1EA3">
        <w:rPr>
          <w:rFonts w:ascii="Times New Roman" w:eastAsia="Times New Roman" w:hAnsi="Times New Roman" w:cs="Times New Roman"/>
          <w:color w:val="292E35"/>
          <w:kern w:val="0"/>
          <w:sz w:val="32"/>
          <w:szCs w:val="32"/>
          <w14:ligatures w14:val="none"/>
        </w:rPr>
        <w:t>deja de ser un expositor de la Palabra y se convierte en una especie de comentario bíblico ambulante. Tampoco es usar el púlpito para impartir una clase seca y árida de interpretación bíblica que deje a los oyentes confusos y exasperados tratando de discernir cuál es el mensaje de Dios para ellos. Predicar es proclamar un mensaje que extraemos de las Escrituras a través de un trabajo arduo y que transmitimos a través de la predicación, procurando la gloria de Dios en Cristo y el provecho spiritual de los que nos escuchan.</w:t>
      </w:r>
    </w:p>
    <w:p w14:paraId="0F314AAE"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710AB4E6"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Volvemos, entonces, a nuestra pregunta: ¿qué es un sermón expositivo? Dicho de manera muy sencilla y concisa, es el tipo de sermón que ayuda a los oyentes a entender el significado del texto bíblico y lo que Dios quiere que hagamos a la luz de lo que ese texto enseña. Mark Dever lo define como ese tipo de predicación “en la que el punto principal del texto bíblico que está siendo considerado viene a ser el punto principal del sermón que se predica” (traducido por el autor). 6 </w:t>
      </w:r>
      <w:proofErr w:type="gramStart"/>
      <w:r w:rsidRPr="005C1EA3">
        <w:rPr>
          <w:rFonts w:ascii="Times New Roman" w:eastAsia="Times New Roman" w:hAnsi="Times New Roman" w:cs="Times New Roman"/>
          <w:color w:val="292E35"/>
          <w:kern w:val="0"/>
          <w:sz w:val="32"/>
          <w:szCs w:val="32"/>
          <w14:ligatures w14:val="none"/>
        </w:rPr>
        <w:t>El</w:t>
      </w:r>
      <w:proofErr w:type="gramEnd"/>
      <w:r w:rsidRPr="005C1EA3">
        <w:rPr>
          <w:rFonts w:ascii="Times New Roman" w:eastAsia="Times New Roman" w:hAnsi="Times New Roman" w:cs="Times New Roman"/>
          <w:color w:val="292E35"/>
          <w:kern w:val="0"/>
          <w:sz w:val="32"/>
          <w:szCs w:val="32"/>
          <w14:ligatures w14:val="none"/>
        </w:rPr>
        <w:t xml:space="preserve"> teólogo británico J. I. Packer la define con estas palabras: “La </w:t>
      </w:r>
      <w:r w:rsidRPr="005C1EA3">
        <w:rPr>
          <w:rFonts w:ascii="Times New Roman" w:eastAsia="Times New Roman" w:hAnsi="Times New Roman" w:cs="Times New Roman"/>
          <w:color w:val="292E35"/>
          <w:kern w:val="0"/>
          <w:sz w:val="32"/>
          <w:szCs w:val="32"/>
          <w14:ligatures w14:val="none"/>
        </w:rPr>
        <w:lastRenderedPageBreak/>
        <w:t xml:space="preserve">predicación cristiana es la actividad en la que Dios mismo, a través de un portavoz, trae a una audiencia un mensaje de instrucción y dirección acerca de Cristo, que impacta en las vidas y que está basado en las Escrituras” (traducido por el autor). Esta es mi propia definición: </w:t>
      </w:r>
      <w:r w:rsidRPr="005C1EA3">
        <w:rPr>
          <w:rFonts w:ascii="Times New Roman" w:eastAsia="Times New Roman" w:hAnsi="Times New Roman" w:cs="Times New Roman"/>
          <w:i/>
          <w:iCs/>
          <w:color w:val="292E35"/>
          <w:kern w:val="0"/>
          <w:sz w:val="32"/>
          <w:szCs w:val="32"/>
          <w:bdr w:val="single" w:sz="2" w:space="0" w:color="E2E8F0" w:frame="1"/>
          <w14:ligatures w14:val="none"/>
        </w:rPr>
        <w:t xml:space="preserve">Un sermón expositivo es aquel que expone y aplica el verdadero significado del texto bíblico, tomando en cuenta su contexto </w:t>
      </w:r>
      <w:proofErr w:type="gramStart"/>
      <w:r w:rsidRPr="005C1EA3">
        <w:rPr>
          <w:rFonts w:ascii="Times New Roman" w:eastAsia="Times New Roman" w:hAnsi="Times New Roman" w:cs="Times New Roman"/>
          <w:i/>
          <w:iCs/>
          <w:color w:val="292E35"/>
          <w:kern w:val="0"/>
          <w:sz w:val="32"/>
          <w:szCs w:val="32"/>
          <w:bdr w:val="single" w:sz="2" w:space="0" w:color="E2E8F0" w:frame="1"/>
          <w14:ligatures w14:val="none"/>
        </w:rPr>
        <w:t>inmediato</w:t>
      </w:r>
      <w:proofErr w:type="gramEnd"/>
      <w:r w:rsidRPr="005C1EA3">
        <w:rPr>
          <w:rFonts w:ascii="Times New Roman" w:eastAsia="Times New Roman" w:hAnsi="Times New Roman" w:cs="Times New Roman"/>
          <w:i/>
          <w:iCs/>
          <w:color w:val="292E35"/>
          <w:kern w:val="0"/>
          <w:sz w:val="32"/>
          <w:szCs w:val="32"/>
          <w:bdr w:val="single" w:sz="2" w:space="0" w:color="E2E8F0" w:frame="1"/>
          <w14:ligatures w14:val="none"/>
        </w:rPr>
        <w:t xml:space="preserve"> así como el contexto más amplio de la historia redentora que gira en torno a la Persona y la Obra de Cristo, con el propósito de que el oyente escuche la voz de Dios a través de la exposición y sea transformado</w:t>
      </w:r>
      <w:r w:rsidRPr="005C1EA3">
        <w:rPr>
          <w:rFonts w:ascii="Times New Roman" w:eastAsia="Times New Roman" w:hAnsi="Times New Roman" w:cs="Times New Roman"/>
          <w:color w:val="292E35"/>
          <w:kern w:val="0"/>
          <w:sz w:val="32"/>
          <w:szCs w:val="32"/>
          <w14:ligatures w14:val="none"/>
        </w:rPr>
        <w:t>.</w:t>
      </w:r>
    </w:p>
    <w:p w14:paraId="42CAC488"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77E25B50"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Uno de los documentos de la Asamblea de Westminster (1645) declara que “el predicador debe llegar a ser un instrumento respecto a su texto, abriéndolo y aplicándolo como Palabra de Dios a sus oyentes… para que el texto pueda hablar… y ser oído, elaborando cada punto del texto de tal forma que su audiencia pueda discernir la voz de Dios”. En otras palabras, el predicador expone; no impone. Como dice el </w:t>
      </w:r>
      <w:r w:rsidRPr="005C1EA3">
        <w:rPr>
          <w:rFonts w:ascii="Times New Roman" w:eastAsia="Times New Roman" w:hAnsi="Times New Roman" w:cs="Times New Roman"/>
          <w:color w:val="292E35"/>
          <w:kern w:val="0"/>
          <w:sz w:val="32"/>
          <w:szCs w:val="32"/>
          <w14:ligatures w14:val="none"/>
        </w:rPr>
        <w:t xml:space="preserve">teólogo reformado escocés Sinclair Ferguson, “el predicador crea el sermón, pero no crea el mensaje. Más bien proclama y explica el mensaje que ha recibido” (traducido por el autor). Pablo lo dice de esta manera en 2 Corintios 4:1-2: </w:t>
      </w:r>
    </w:p>
    <w:p w14:paraId="41D5F7F6"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Por lo cual, teniendo nosotros este ministerio según la misericordia que hemos recibido, no desmayamos. Antes bien renunciamos a lo oculto y vergonzoso, no andando con astucia, ni adulterando la palabra de Dios, sino por la manifestación de la verdad recomendándonos a toda conciencia humana delante de Dios.</w:t>
      </w:r>
    </w:p>
    <w:p w14:paraId="4896616C"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4C2449E5"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Esta expresión que la RVR1960 traduce como “manifestación de la verdad” es mucho más impactante en el original. La idea que transmite es la de hacer que una cosa sea ampliamente conocida al revelarla con claridad y en detalle. Por eso el pastor y escritor australiano Gary Millar dice que “la clave de la predicación es hacer obvio el mensaje del texto. Ayudar a las personas a verlo… sentirlo… entenderlo”. Y más adelante añade: “Estoy completamente </w:t>
      </w:r>
      <w:r w:rsidRPr="005C1EA3">
        <w:rPr>
          <w:rFonts w:ascii="Times New Roman" w:eastAsia="Times New Roman" w:hAnsi="Times New Roman" w:cs="Times New Roman"/>
          <w:color w:val="292E35"/>
          <w:kern w:val="0"/>
          <w:sz w:val="32"/>
          <w:szCs w:val="32"/>
          <w14:ligatures w14:val="none"/>
        </w:rPr>
        <w:lastRenderedPageBreak/>
        <w:t>convencido de que el tipo de predicación que cambia las vidas de las personas, la predicación que cambia los corazones de la gente, es la predicación que le permite al texto hablar por sí mismo” (traducido por el autor).</w:t>
      </w:r>
    </w:p>
    <w:p w14:paraId="2733B1FB"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053FB138"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En ese sentido, toda predicación debe ser expositiva o de lo contrario ya no es predicación. Ya sea que se trate de una serie sobre un libro de la Biblia versículo a versículo o de un pasaje largo o breve de las Escrituras, lo que distingue a la predicación expositiva es que expone y aplica lo que el texto realmente dice, y no lo que el predicador quiere que diga.</w:t>
      </w:r>
    </w:p>
    <w:p w14:paraId="777E6C4F"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480E1107"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“Exponer las Escrituras —dice John Stott— es extraer lo que se encuentra en el texto y dejarlo a la vista. El expositor expone por fuerza lo que parece estar oculto, da claridad a lo que parece confuso, deshace los nudos y desarma lo que parece un asunto difícil. Lo opuesto a la exposición es la imposición, es decir, imponer sobre el texto algo que este no incluye. El ‘texto’ en cuestión puede ser un versículo, una oración gramatical o incluso </w:t>
      </w:r>
      <w:r w:rsidRPr="005C1EA3">
        <w:rPr>
          <w:rFonts w:ascii="Times New Roman" w:eastAsia="Times New Roman" w:hAnsi="Times New Roman" w:cs="Times New Roman"/>
          <w:color w:val="292E35"/>
          <w:kern w:val="0"/>
          <w:sz w:val="32"/>
          <w:szCs w:val="32"/>
          <w14:ligatures w14:val="none"/>
        </w:rPr>
        <w:t xml:space="preserve">una sola palabra. De igual forma puede tratarse de un párrafo, un capítulo o todo un libro. El tamaño del texto no tiene importancia, siempre que este sea tomado de la Biblia; lo que importa es lo que hagamos con él. Ya sea breve o extenso, nuestra responsabilidad como expositores es hacer que se exponga de tal modo que transmita su </w:t>
      </w:r>
      <w:proofErr w:type="gramStart"/>
      <w:r w:rsidRPr="005C1EA3">
        <w:rPr>
          <w:rFonts w:ascii="Times New Roman" w:eastAsia="Times New Roman" w:hAnsi="Times New Roman" w:cs="Times New Roman"/>
          <w:color w:val="292E35"/>
          <w:kern w:val="0"/>
          <w:sz w:val="32"/>
          <w:szCs w:val="32"/>
          <w14:ligatures w14:val="none"/>
        </w:rPr>
        <w:t>mensaje clara</w:t>
      </w:r>
      <w:proofErr w:type="gramEnd"/>
      <w:r w:rsidRPr="005C1EA3">
        <w:rPr>
          <w:rFonts w:ascii="Times New Roman" w:eastAsia="Times New Roman" w:hAnsi="Times New Roman" w:cs="Times New Roman"/>
          <w:color w:val="292E35"/>
          <w:kern w:val="0"/>
          <w:sz w:val="32"/>
          <w:szCs w:val="32"/>
          <w14:ligatures w14:val="none"/>
        </w:rPr>
        <w:t>, simple, y exactamente, de forma pertinente, sin adiciones, sustracciones o falsificación”.</w:t>
      </w:r>
    </w:p>
    <w:p w14:paraId="5EB01CF9"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255457B9"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La mayoría de las personas aprecia un buen truco de magia. Nos preguntamos cómo es posible que el mago haya sacado un conejo del sombrero que aparentemente estaba vacío. Pero el predicador no es un mago, sino un expositor; él está llamado a sacar del sombrero (el texto bíblico) únicamente el conejo que en realidad ya está allí (el contenido del texto).</w:t>
      </w:r>
    </w:p>
    <w:p w14:paraId="2FB610D3"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76B04677"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El texto dicta y controla lo dicho, 12 como bien señala John Stott. Eso es predicación expositiva; o para ser más precisos, ¡eso es predicación! Cuando es menos que eso, ya dejó de ser predicación para convertirse en </w:t>
      </w:r>
      <w:r w:rsidRPr="005C1EA3">
        <w:rPr>
          <w:rFonts w:ascii="Times New Roman" w:eastAsia="Times New Roman" w:hAnsi="Times New Roman" w:cs="Times New Roman"/>
          <w:color w:val="292E35"/>
          <w:kern w:val="0"/>
          <w:sz w:val="32"/>
          <w:szCs w:val="32"/>
          <w14:ligatures w14:val="none"/>
        </w:rPr>
        <w:lastRenderedPageBreak/>
        <w:t>otra cosa. No se trata tanto de un método como de una convicción. Si de verdad creemos que “toda la Escritura es inspirada por Dios, y útil para enseñar, para redargüir, para corregir, para instruir en justicia, a fin de que el hombre de Dios sea perfecto, enteramente preparado para toda buena obra” (2 Tim. 3:16-17), ¿por qué vamos a querer hacer otra cosa que no sea exponerla con fidelidad?</w:t>
      </w:r>
    </w:p>
    <w:p w14:paraId="638C3EEF"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p>
    <w:p w14:paraId="165752D5" w14:textId="77777777" w:rsidR="002127D6" w:rsidRPr="005C1EA3"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sz w:val="32"/>
          <w:szCs w:val="32"/>
          <w14:ligatures w14:val="none"/>
        </w:rPr>
      </w:pPr>
      <w:r w:rsidRPr="005C1EA3">
        <w:rPr>
          <w:rFonts w:ascii="Times New Roman" w:eastAsia="Times New Roman" w:hAnsi="Times New Roman" w:cs="Times New Roman"/>
          <w:color w:val="292E35"/>
          <w:kern w:val="0"/>
          <w:sz w:val="32"/>
          <w:szCs w:val="32"/>
          <w14:ligatures w14:val="none"/>
        </w:rPr>
        <w:t xml:space="preserve">Tal vez nunca llegues a ser popular o famoso haciendo esto, pero recuerda que el “éxito” ministerial no se mide por la cantidad de sermones reproducidos en YouTube o por el </w:t>
      </w:r>
      <w:r w:rsidRPr="005C1EA3">
        <w:rPr>
          <w:rFonts w:ascii="Times New Roman" w:eastAsia="Times New Roman" w:hAnsi="Times New Roman" w:cs="Times New Roman"/>
          <w:color w:val="292E35"/>
          <w:kern w:val="0"/>
          <w:sz w:val="32"/>
          <w:szCs w:val="32"/>
          <w14:ligatures w14:val="none"/>
        </w:rPr>
        <w:t>número de conferencias a las que eres invitado como expositor, sino por tu fidelidad al transmitir lo que Dios quiere decirnos en las Escrituras. Espero que estas palabras del Señor Jesucristo, en Mateo 24:45-46, te impulsen a seguir adelante en tu labor, procurando únicamente Su aprobación y no la de los hombres: “¿Quién es, pues, el siervo fiel y prudente, al cual puso su señor sobre su casa para que les dé el alimento a tiempo? Bienaventurado aquel siervo al cual, cuando su señor venga, le halle haciendo así”.</w:t>
      </w:r>
    </w:p>
    <w:p w14:paraId="7CA7AFE6" w14:textId="77777777" w:rsidR="005C1EA3" w:rsidRDefault="005C1EA3"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sectPr w:rsidR="005C1EA3" w:rsidSect="005C1EA3">
          <w:type w:val="continuous"/>
          <w:pgSz w:w="12240" w:h="15840"/>
          <w:pgMar w:top="1440" w:right="1440" w:bottom="1440" w:left="1440" w:header="720" w:footer="720" w:gutter="0"/>
          <w:cols w:num="2" w:space="720"/>
          <w:docGrid w:linePitch="360"/>
        </w:sectPr>
      </w:pPr>
    </w:p>
    <w:p w14:paraId="2F118075"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14:ligatures w14:val="none"/>
        </w:rPr>
      </w:pPr>
    </w:p>
    <w:p w14:paraId="4D79E27E" w14:textId="77777777" w:rsidR="002127D6" w:rsidRPr="002127D6" w:rsidRDefault="002127D6" w:rsidP="002127D6">
      <w:pPr>
        <w:pBdr>
          <w:top w:val="single" w:sz="2" w:space="0" w:color="E2E8F0"/>
          <w:left w:val="single" w:sz="2" w:space="0" w:color="E2E8F0"/>
          <w:bottom w:val="single" w:sz="2" w:space="0" w:color="E2E8F0"/>
          <w:right w:val="single" w:sz="2" w:space="0" w:color="E2E8F0"/>
        </w:pBdr>
        <w:shd w:val="clear" w:color="auto" w:fill="FFFFFF"/>
        <w:spacing w:after="0" w:line="240" w:lineRule="auto"/>
        <w:jc w:val="both"/>
        <w:rPr>
          <w:rFonts w:ascii="Times New Roman" w:eastAsia="Times New Roman" w:hAnsi="Times New Roman" w:cs="Times New Roman"/>
          <w:color w:val="292E35"/>
          <w:kern w:val="0"/>
          <w:lang w:val="en-US"/>
          <w14:ligatures w14:val="none"/>
        </w:rPr>
      </w:pPr>
      <w:proofErr w:type="spellStart"/>
      <w:r w:rsidRPr="002127D6">
        <w:rPr>
          <w:rFonts w:ascii="Times New Roman" w:eastAsia="Times New Roman" w:hAnsi="Times New Roman" w:cs="Times New Roman"/>
          <w:color w:val="292E35"/>
          <w:kern w:val="0"/>
          <w14:ligatures w14:val="none"/>
        </w:rPr>
        <w:t>Michelén</w:t>
      </w:r>
      <w:proofErr w:type="spellEnd"/>
      <w:r w:rsidRPr="002127D6">
        <w:rPr>
          <w:rFonts w:ascii="Times New Roman" w:eastAsia="Times New Roman" w:hAnsi="Times New Roman" w:cs="Times New Roman"/>
          <w:color w:val="292E35"/>
          <w:kern w:val="0"/>
          <w14:ligatures w14:val="none"/>
        </w:rPr>
        <w:t xml:space="preserve">, </w:t>
      </w:r>
      <w:proofErr w:type="spellStart"/>
      <w:r w:rsidRPr="002127D6">
        <w:rPr>
          <w:rFonts w:ascii="Times New Roman" w:eastAsia="Times New Roman" w:hAnsi="Times New Roman" w:cs="Times New Roman"/>
          <w:color w:val="292E35"/>
          <w:kern w:val="0"/>
          <w14:ligatures w14:val="none"/>
        </w:rPr>
        <w:t>Sugel</w:t>
      </w:r>
      <w:proofErr w:type="spellEnd"/>
      <w:r w:rsidRPr="002127D6">
        <w:rPr>
          <w:rFonts w:ascii="Times New Roman" w:eastAsia="Times New Roman" w:hAnsi="Times New Roman" w:cs="Times New Roman"/>
          <w:color w:val="292E35"/>
          <w:kern w:val="0"/>
          <w14:ligatures w14:val="none"/>
        </w:rPr>
        <w:t xml:space="preserve">. </w:t>
      </w:r>
      <w:r w:rsidRPr="002127D6">
        <w:rPr>
          <w:rFonts w:ascii="Times New Roman" w:eastAsia="Times New Roman" w:hAnsi="Times New Roman" w:cs="Times New Roman"/>
          <w:i/>
          <w:iCs/>
          <w:color w:val="292E35"/>
          <w:kern w:val="0"/>
          <w:bdr w:val="single" w:sz="2" w:space="0" w:color="E2E8F0" w:frame="1"/>
          <w14:ligatures w14:val="none"/>
        </w:rPr>
        <w:t>De Parte de Dios y Delante de Dios: Una Guía de Predicación Expositiva</w:t>
      </w:r>
      <w:r w:rsidRPr="002127D6">
        <w:rPr>
          <w:rFonts w:ascii="Times New Roman" w:eastAsia="Times New Roman" w:hAnsi="Times New Roman" w:cs="Times New Roman"/>
          <w:color w:val="292E35"/>
          <w:kern w:val="0"/>
          <w14:ligatures w14:val="none"/>
        </w:rPr>
        <w:t xml:space="preserve">. </w:t>
      </w:r>
      <w:r w:rsidRPr="002127D6">
        <w:rPr>
          <w:rFonts w:ascii="Times New Roman" w:eastAsia="Times New Roman" w:hAnsi="Times New Roman" w:cs="Times New Roman"/>
          <w:color w:val="292E35"/>
          <w:kern w:val="0"/>
          <w:lang w:val="en-US"/>
          <w14:ligatures w14:val="none"/>
        </w:rPr>
        <w:t>Nashville: B&amp;H Español, 2016.</w:t>
      </w:r>
    </w:p>
    <w:p w14:paraId="03715335" w14:textId="77777777" w:rsidR="00D73319" w:rsidRPr="002127D6" w:rsidRDefault="00D73319" w:rsidP="002127D6">
      <w:pPr>
        <w:spacing w:line="240" w:lineRule="auto"/>
        <w:rPr>
          <w:rFonts w:ascii="Times New Roman" w:hAnsi="Times New Roman" w:cs="Times New Roman"/>
        </w:rPr>
      </w:pPr>
    </w:p>
    <w:sectPr w:rsidR="00D73319" w:rsidRPr="002127D6" w:rsidSect="005C1EA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7D6"/>
    <w:rsid w:val="000F37F1"/>
    <w:rsid w:val="001C5CD1"/>
    <w:rsid w:val="00210CAC"/>
    <w:rsid w:val="002127D6"/>
    <w:rsid w:val="00354EF9"/>
    <w:rsid w:val="003A3B98"/>
    <w:rsid w:val="003B0D2F"/>
    <w:rsid w:val="003C7AB9"/>
    <w:rsid w:val="004328FA"/>
    <w:rsid w:val="005C1EA3"/>
    <w:rsid w:val="005E3E7B"/>
    <w:rsid w:val="006A3519"/>
    <w:rsid w:val="006A4447"/>
    <w:rsid w:val="006E3EF9"/>
    <w:rsid w:val="006F582E"/>
    <w:rsid w:val="007F0B8F"/>
    <w:rsid w:val="00893450"/>
    <w:rsid w:val="00D73319"/>
    <w:rsid w:val="00DD0B5B"/>
    <w:rsid w:val="00EC7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A57F"/>
  <w15:chartTrackingRefBased/>
  <w15:docId w15:val="{0681C5DB-0187-4CA8-99D6-FBF89690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Heading1">
    <w:name w:val="heading 1"/>
    <w:basedOn w:val="Normal"/>
    <w:next w:val="Normal"/>
    <w:link w:val="Heading1Char"/>
    <w:uiPriority w:val="9"/>
    <w:qFormat/>
    <w:rsid w:val="002127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7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7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7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7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7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7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7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7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7D6"/>
    <w:rPr>
      <w:rFonts w:asciiTheme="majorHAnsi" w:eastAsiaTheme="majorEastAsia" w:hAnsiTheme="majorHAnsi" w:cstheme="majorBidi"/>
      <w:color w:val="0F4761" w:themeColor="accent1" w:themeShade="BF"/>
      <w:sz w:val="40"/>
      <w:szCs w:val="40"/>
      <w:lang w:val="es-MX"/>
    </w:rPr>
  </w:style>
  <w:style w:type="character" w:customStyle="1" w:styleId="Heading2Char">
    <w:name w:val="Heading 2 Char"/>
    <w:basedOn w:val="DefaultParagraphFont"/>
    <w:link w:val="Heading2"/>
    <w:uiPriority w:val="9"/>
    <w:semiHidden/>
    <w:rsid w:val="002127D6"/>
    <w:rPr>
      <w:rFonts w:asciiTheme="majorHAnsi" w:eastAsiaTheme="majorEastAsia" w:hAnsiTheme="majorHAnsi" w:cstheme="majorBidi"/>
      <w:color w:val="0F4761" w:themeColor="accent1" w:themeShade="BF"/>
      <w:sz w:val="32"/>
      <w:szCs w:val="32"/>
      <w:lang w:val="es-MX"/>
    </w:rPr>
  </w:style>
  <w:style w:type="character" w:customStyle="1" w:styleId="Heading3Char">
    <w:name w:val="Heading 3 Char"/>
    <w:basedOn w:val="DefaultParagraphFont"/>
    <w:link w:val="Heading3"/>
    <w:uiPriority w:val="9"/>
    <w:semiHidden/>
    <w:rsid w:val="002127D6"/>
    <w:rPr>
      <w:rFonts w:eastAsiaTheme="majorEastAsia" w:cstheme="majorBidi"/>
      <w:color w:val="0F4761" w:themeColor="accent1" w:themeShade="BF"/>
      <w:sz w:val="28"/>
      <w:szCs w:val="28"/>
      <w:lang w:val="es-MX"/>
    </w:rPr>
  </w:style>
  <w:style w:type="character" w:customStyle="1" w:styleId="Heading4Char">
    <w:name w:val="Heading 4 Char"/>
    <w:basedOn w:val="DefaultParagraphFont"/>
    <w:link w:val="Heading4"/>
    <w:uiPriority w:val="9"/>
    <w:semiHidden/>
    <w:rsid w:val="002127D6"/>
    <w:rPr>
      <w:rFonts w:eastAsiaTheme="majorEastAsia" w:cstheme="majorBidi"/>
      <w:i/>
      <w:iCs/>
      <w:color w:val="0F4761" w:themeColor="accent1" w:themeShade="BF"/>
      <w:lang w:val="es-MX"/>
    </w:rPr>
  </w:style>
  <w:style w:type="character" w:customStyle="1" w:styleId="Heading5Char">
    <w:name w:val="Heading 5 Char"/>
    <w:basedOn w:val="DefaultParagraphFont"/>
    <w:link w:val="Heading5"/>
    <w:uiPriority w:val="9"/>
    <w:semiHidden/>
    <w:rsid w:val="002127D6"/>
    <w:rPr>
      <w:rFonts w:eastAsiaTheme="majorEastAsia" w:cstheme="majorBidi"/>
      <w:color w:val="0F4761" w:themeColor="accent1" w:themeShade="BF"/>
      <w:lang w:val="es-MX"/>
    </w:rPr>
  </w:style>
  <w:style w:type="character" w:customStyle="1" w:styleId="Heading6Char">
    <w:name w:val="Heading 6 Char"/>
    <w:basedOn w:val="DefaultParagraphFont"/>
    <w:link w:val="Heading6"/>
    <w:uiPriority w:val="9"/>
    <w:semiHidden/>
    <w:rsid w:val="002127D6"/>
    <w:rPr>
      <w:rFonts w:eastAsiaTheme="majorEastAsia" w:cstheme="majorBidi"/>
      <w:i/>
      <w:iCs/>
      <w:color w:val="595959" w:themeColor="text1" w:themeTint="A6"/>
      <w:lang w:val="es-MX"/>
    </w:rPr>
  </w:style>
  <w:style w:type="character" w:customStyle="1" w:styleId="Heading7Char">
    <w:name w:val="Heading 7 Char"/>
    <w:basedOn w:val="DefaultParagraphFont"/>
    <w:link w:val="Heading7"/>
    <w:uiPriority w:val="9"/>
    <w:semiHidden/>
    <w:rsid w:val="002127D6"/>
    <w:rPr>
      <w:rFonts w:eastAsiaTheme="majorEastAsia" w:cstheme="majorBidi"/>
      <w:color w:val="595959" w:themeColor="text1" w:themeTint="A6"/>
      <w:lang w:val="es-MX"/>
    </w:rPr>
  </w:style>
  <w:style w:type="character" w:customStyle="1" w:styleId="Heading8Char">
    <w:name w:val="Heading 8 Char"/>
    <w:basedOn w:val="DefaultParagraphFont"/>
    <w:link w:val="Heading8"/>
    <w:uiPriority w:val="9"/>
    <w:semiHidden/>
    <w:rsid w:val="002127D6"/>
    <w:rPr>
      <w:rFonts w:eastAsiaTheme="majorEastAsia" w:cstheme="majorBidi"/>
      <w:i/>
      <w:iCs/>
      <w:color w:val="272727" w:themeColor="text1" w:themeTint="D8"/>
      <w:lang w:val="es-MX"/>
    </w:rPr>
  </w:style>
  <w:style w:type="character" w:customStyle="1" w:styleId="Heading9Char">
    <w:name w:val="Heading 9 Char"/>
    <w:basedOn w:val="DefaultParagraphFont"/>
    <w:link w:val="Heading9"/>
    <w:uiPriority w:val="9"/>
    <w:semiHidden/>
    <w:rsid w:val="002127D6"/>
    <w:rPr>
      <w:rFonts w:eastAsiaTheme="majorEastAsia" w:cstheme="majorBidi"/>
      <w:color w:val="272727" w:themeColor="text1" w:themeTint="D8"/>
      <w:lang w:val="es-MX"/>
    </w:rPr>
  </w:style>
  <w:style w:type="paragraph" w:styleId="Title">
    <w:name w:val="Title"/>
    <w:basedOn w:val="Normal"/>
    <w:next w:val="Normal"/>
    <w:link w:val="TitleChar"/>
    <w:uiPriority w:val="10"/>
    <w:qFormat/>
    <w:rsid w:val="002127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7D6"/>
    <w:rPr>
      <w:rFonts w:asciiTheme="majorHAnsi" w:eastAsiaTheme="majorEastAsia" w:hAnsiTheme="majorHAnsi" w:cstheme="majorBidi"/>
      <w:spacing w:val="-10"/>
      <w:kern w:val="28"/>
      <w:sz w:val="56"/>
      <w:szCs w:val="56"/>
      <w:lang w:val="es-MX"/>
    </w:rPr>
  </w:style>
  <w:style w:type="paragraph" w:styleId="Subtitle">
    <w:name w:val="Subtitle"/>
    <w:basedOn w:val="Normal"/>
    <w:next w:val="Normal"/>
    <w:link w:val="SubtitleChar"/>
    <w:uiPriority w:val="11"/>
    <w:qFormat/>
    <w:rsid w:val="002127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7D6"/>
    <w:rPr>
      <w:rFonts w:eastAsiaTheme="majorEastAsia" w:cstheme="majorBidi"/>
      <w:color w:val="595959" w:themeColor="text1" w:themeTint="A6"/>
      <w:spacing w:val="15"/>
      <w:sz w:val="28"/>
      <w:szCs w:val="28"/>
      <w:lang w:val="es-MX"/>
    </w:rPr>
  </w:style>
  <w:style w:type="paragraph" w:styleId="Quote">
    <w:name w:val="Quote"/>
    <w:basedOn w:val="Normal"/>
    <w:next w:val="Normal"/>
    <w:link w:val="QuoteChar"/>
    <w:uiPriority w:val="29"/>
    <w:qFormat/>
    <w:rsid w:val="002127D6"/>
    <w:pPr>
      <w:spacing w:before="160"/>
      <w:jc w:val="center"/>
    </w:pPr>
    <w:rPr>
      <w:i/>
      <w:iCs/>
      <w:color w:val="404040" w:themeColor="text1" w:themeTint="BF"/>
    </w:rPr>
  </w:style>
  <w:style w:type="character" w:customStyle="1" w:styleId="QuoteChar">
    <w:name w:val="Quote Char"/>
    <w:basedOn w:val="DefaultParagraphFont"/>
    <w:link w:val="Quote"/>
    <w:uiPriority w:val="29"/>
    <w:rsid w:val="002127D6"/>
    <w:rPr>
      <w:i/>
      <w:iCs/>
      <w:color w:val="404040" w:themeColor="text1" w:themeTint="BF"/>
      <w:lang w:val="es-MX"/>
    </w:rPr>
  </w:style>
  <w:style w:type="paragraph" w:styleId="ListParagraph">
    <w:name w:val="List Paragraph"/>
    <w:basedOn w:val="Normal"/>
    <w:uiPriority w:val="34"/>
    <w:qFormat/>
    <w:rsid w:val="002127D6"/>
    <w:pPr>
      <w:ind w:left="720"/>
      <w:contextualSpacing/>
    </w:pPr>
  </w:style>
  <w:style w:type="character" w:styleId="IntenseEmphasis">
    <w:name w:val="Intense Emphasis"/>
    <w:basedOn w:val="DefaultParagraphFont"/>
    <w:uiPriority w:val="21"/>
    <w:qFormat/>
    <w:rsid w:val="002127D6"/>
    <w:rPr>
      <w:i/>
      <w:iCs/>
      <w:color w:val="0F4761" w:themeColor="accent1" w:themeShade="BF"/>
    </w:rPr>
  </w:style>
  <w:style w:type="paragraph" w:styleId="IntenseQuote">
    <w:name w:val="Intense Quote"/>
    <w:basedOn w:val="Normal"/>
    <w:next w:val="Normal"/>
    <w:link w:val="IntenseQuoteChar"/>
    <w:uiPriority w:val="30"/>
    <w:qFormat/>
    <w:rsid w:val="002127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7D6"/>
    <w:rPr>
      <w:i/>
      <w:iCs/>
      <w:color w:val="0F4761" w:themeColor="accent1" w:themeShade="BF"/>
      <w:lang w:val="es-MX"/>
    </w:rPr>
  </w:style>
  <w:style w:type="character" w:styleId="IntenseReference">
    <w:name w:val="Intense Reference"/>
    <w:basedOn w:val="DefaultParagraphFont"/>
    <w:uiPriority w:val="32"/>
    <w:qFormat/>
    <w:rsid w:val="002127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15211">
      <w:bodyDiv w:val="1"/>
      <w:marLeft w:val="0"/>
      <w:marRight w:val="0"/>
      <w:marTop w:val="0"/>
      <w:marBottom w:val="0"/>
      <w:divBdr>
        <w:top w:val="none" w:sz="0" w:space="0" w:color="auto"/>
        <w:left w:val="none" w:sz="0" w:space="0" w:color="auto"/>
        <w:bottom w:val="none" w:sz="0" w:space="0" w:color="auto"/>
        <w:right w:val="none" w:sz="0" w:space="0" w:color="auto"/>
      </w:divBdr>
      <w:divsChild>
        <w:div w:id="141705146">
          <w:marLeft w:val="0"/>
          <w:marRight w:val="0"/>
          <w:marTop w:val="0"/>
          <w:marBottom w:val="0"/>
          <w:divBdr>
            <w:top w:val="single" w:sz="2" w:space="0" w:color="E2E8F0"/>
            <w:left w:val="single" w:sz="2" w:space="0" w:color="E2E8F0"/>
            <w:bottom w:val="single" w:sz="2" w:space="0" w:color="E2E8F0"/>
            <w:right w:val="single" w:sz="2" w:space="0" w:color="E2E8F0"/>
          </w:divBdr>
          <w:divsChild>
            <w:div w:id="525368058">
              <w:marLeft w:val="0"/>
              <w:marRight w:val="0"/>
              <w:marTop w:val="0"/>
              <w:marBottom w:val="0"/>
              <w:divBdr>
                <w:top w:val="single" w:sz="2" w:space="0" w:color="E2E8F0"/>
                <w:left w:val="single" w:sz="2" w:space="0" w:color="E2E8F0"/>
                <w:bottom w:val="single" w:sz="2" w:space="0" w:color="E2E8F0"/>
                <w:right w:val="single" w:sz="2" w:space="0" w:color="E2E8F0"/>
              </w:divBdr>
              <w:divsChild>
                <w:div w:id="1581789268">
                  <w:marLeft w:val="0"/>
                  <w:marRight w:val="0"/>
                  <w:marTop w:val="0"/>
                  <w:marBottom w:val="0"/>
                  <w:divBdr>
                    <w:top w:val="single" w:sz="2" w:space="0" w:color="E2E8F0"/>
                    <w:left w:val="single" w:sz="2" w:space="0" w:color="E2E8F0"/>
                    <w:bottom w:val="single" w:sz="2" w:space="0" w:color="E2E8F0"/>
                    <w:right w:val="single" w:sz="6" w:space="0" w:color="FFFFFF"/>
                  </w:divBdr>
                  <w:divsChild>
                    <w:div w:id="1272588120">
                      <w:marLeft w:val="0"/>
                      <w:marRight w:val="0"/>
                      <w:marTop w:val="0"/>
                      <w:marBottom w:val="0"/>
                      <w:divBdr>
                        <w:top w:val="single" w:sz="2" w:space="8" w:color="E2E8F0"/>
                        <w:left w:val="single" w:sz="2" w:space="8" w:color="E2E8F0"/>
                        <w:bottom w:val="single" w:sz="2" w:space="8" w:color="E2E8F0"/>
                        <w:right w:val="single" w:sz="2" w:space="8" w:color="E2E8F0"/>
                      </w:divBdr>
                      <w:divsChild>
                        <w:div w:id="1204365233">
                          <w:marLeft w:val="0"/>
                          <w:marRight w:val="0"/>
                          <w:marTop w:val="0"/>
                          <w:marBottom w:val="0"/>
                          <w:divBdr>
                            <w:top w:val="single" w:sz="2" w:space="0" w:color="E2E8F0"/>
                            <w:left w:val="single" w:sz="2" w:space="0" w:color="E2E8F0"/>
                            <w:bottom w:val="single" w:sz="2" w:space="0" w:color="E2E8F0"/>
                            <w:right w:val="single" w:sz="2" w:space="0" w:color="E2E8F0"/>
                          </w:divBdr>
                          <w:divsChild>
                            <w:div w:id="26109165">
                              <w:marLeft w:val="0"/>
                              <w:marRight w:val="0"/>
                              <w:marTop w:val="0"/>
                              <w:marBottom w:val="0"/>
                              <w:divBdr>
                                <w:top w:val="single" w:sz="2" w:space="0" w:color="E2E8F0"/>
                                <w:left w:val="single" w:sz="2" w:space="0" w:color="E2E8F0"/>
                                <w:bottom w:val="single" w:sz="2" w:space="0" w:color="E2E8F0"/>
                                <w:right w:val="single" w:sz="2" w:space="0" w:color="E2E8F0"/>
                              </w:divBdr>
                            </w:div>
                            <w:div w:id="1511262734">
                              <w:marLeft w:val="0"/>
                              <w:marRight w:val="0"/>
                              <w:marTop w:val="60"/>
                              <w:marBottom w:val="0"/>
                              <w:divBdr>
                                <w:top w:val="single" w:sz="2" w:space="0" w:color="E2E8F0"/>
                                <w:left w:val="single" w:sz="2" w:space="0" w:color="E2E8F0"/>
                                <w:bottom w:val="single" w:sz="2" w:space="0" w:color="E2E8F0"/>
                                <w:right w:val="single" w:sz="2" w:space="0" w:color="E2E8F0"/>
                              </w:divBdr>
                              <w:divsChild>
                                <w:div w:id="5559183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003050222">
          <w:marLeft w:val="0"/>
          <w:marRight w:val="0"/>
          <w:marTop w:val="0"/>
          <w:marBottom w:val="0"/>
          <w:divBdr>
            <w:top w:val="single" w:sz="2" w:space="0" w:color="E2E8F0"/>
            <w:left w:val="single" w:sz="2" w:space="0" w:color="E2E8F0"/>
            <w:bottom w:val="single" w:sz="2" w:space="0" w:color="E2E8F0"/>
            <w:right w:val="single" w:sz="2" w:space="0" w:color="E2E8F0"/>
          </w:divBdr>
          <w:divsChild>
            <w:div w:id="248734011">
              <w:marLeft w:val="0"/>
              <w:marRight w:val="0"/>
              <w:marTop w:val="0"/>
              <w:marBottom w:val="0"/>
              <w:divBdr>
                <w:top w:val="single" w:sz="2" w:space="0" w:color="E2E8F0"/>
                <w:left w:val="single" w:sz="2" w:space="0" w:color="E2E8F0"/>
                <w:bottom w:val="single" w:sz="2" w:space="0" w:color="E2E8F0"/>
                <w:right w:val="single" w:sz="2" w:space="0" w:color="E2E8F0"/>
              </w:divBdr>
              <w:divsChild>
                <w:div w:id="270015000">
                  <w:marLeft w:val="0"/>
                  <w:marRight w:val="0"/>
                  <w:marTop w:val="0"/>
                  <w:marBottom w:val="0"/>
                  <w:divBdr>
                    <w:top w:val="single" w:sz="2" w:space="26" w:color="E2E8F0"/>
                    <w:left w:val="single" w:sz="2" w:space="0" w:color="E2E8F0"/>
                    <w:bottom w:val="single" w:sz="2" w:space="26" w:color="E2E8F0"/>
                    <w:right w:val="single" w:sz="2" w:space="0" w:color="E2E8F0"/>
                  </w:divBdr>
                  <w:divsChild>
                    <w:div w:id="2106681208">
                      <w:marLeft w:val="0"/>
                      <w:marRight w:val="0"/>
                      <w:marTop w:val="0"/>
                      <w:marBottom w:val="0"/>
                      <w:divBdr>
                        <w:top w:val="single" w:sz="2" w:space="0" w:color="E2E8F0"/>
                        <w:left w:val="single" w:sz="2" w:space="0" w:color="E2E8F0"/>
                        <w:bottom w:val="single" w:sz="2" w:space="0" w:color="E2E8F0"/>
                        <w:right w:val="single" w:sz="2" w:space="0" w:color="E2E8F0"/>
                      </w:divBdr>
                      <w:divsChild>
                        <w:div w:id="595289508">
                          <w:marLeft w:val="0"/>
                          <w:marRight w:val="0"/>
                          <w:marTop w:val="0"/>
                          <w:marBottom w:val="0"/>
                          <w:divBdr>
                            <w:top w:val="single" w:sz="2" w:space="0" w:color="E2E8F0"/>
                            <w:left w:val="single" w:sz="2" w:space="0" w:color="E2E8F0"/>
                            <w:bottom w:val="single" w:sz="2" w:space="0" w:color="E2E8F0"/>
                            <w:right w:val="single" w:sz="2" w:space="0" w:color="E2E8F0"/>
                          </w:divBdr>
                          <w:divsChild>
                            <w:div w:id="1556429205">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3950</TotalTime>
  <Pages>11</Pages>
  <Words>3693</Words>
  <Characters>17633</Characters>
  <Application>Microsoft Office Word</Application>
  <DocSecurity>0</DocSecurity>
  <Lines>733</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ELADIO  ALTAMIRA COLADO</cp:lastModifiedBy>
  <cp:revision>3</cp:revision>
  <dcterms:created xsi:type="dcterms:W3CDTF">2025-12-27T05:58:00Z</dcterms:created>
  <dcterms:modified xsi:type="dcterms:W3CDTF">2026-01-19T04:28:00Z</dcterms:modified>
</cp:coreProperties>
</file>